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 Managementstack</w:t>
      </w:r>
    </w:p>
    <w:p>
      <w:pPr>
        <w:pStyle w:val="Author"/>
      </w:pPr>
      <w:r>
        <w:t xml:space="preserve">UIAO Modernization Program</w:t>
      </w:r>
    </w:p>
    <w:p>
      <w:pPr>
        <w:pStyle w:val="Date"/>
      </w:pPr>
      <w:r>
        <w:t xml:space="preserve">March 31,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8bb2deb401de8f4529ce45a42df62f07ed908f0"/>
    <w:p>
      <w:pPr>
        <w:pStyle w:val="Heading1"/>
      </w:pPr>
      <w:r>
        <w:t xml:space="preserve">1. UIAO Management Stack — FedRAMP Control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2026-03</w:t>
            </w:r>
          </w:p>
        </w:tc>
      </w:tr>
      <w:tr>
        <w:tc>
          <w:tcPr/>
          <w:p>
            <w:pPr>
              <w:pStyle w:val="Compact"/>
            </w:pPr>
            <w:r>
              <w:t xml:space="preserve">Classification</w:t>
            </w:r>
          </w:p>
        </w:tc>
        <w:tc>
          <w:tcPr/>
          <w:p>
            <w:pPr>
              <w:pStyle w:val="Compact"/>
            </w:pPr>
            <w:r>
              <w:t xml:space="preserve">CUI/FOUO</w:t>
            </w:r>
          </w:p>
        </w:tc>
      </w:tr>
      <w:tr>
        <w:tc>
          <w:tcPr/>
          <w:p>
            <w:pPr>
              <w:pStyle w:val="Compact"/>
            </w:pPr>
            <w:r>
              <w:t xml:space="preserve">Source Plane(s)</w:t>
            </w:r>
          </w:p>
        </w:tc>
        <w:tc>
          <w:tcPr/>
          <w:p>
            <w:pPr>
              <w:pStyle w:val="Compact"/>
            </w:pPr>
            <w:r>
              <w:t xml:space="preserve">Management, Identity, Security, Telemetry</w:t>
            </w:r>
          </w:p>
        </w:tc>
      </w:tr>
      <w:tr>
        <w:tc>
          <w:tcPr/>
          <w:p>
            <w:pPr>
              <w:pStyle w:val="Compact"/>
            </w:pPr>
            <w:r>
              <w:t xml:space="preserve">Document Type</w:t>
            </w:r>
          </w:p>
        </w:tc>
        <w:tc>
          <w:tcPr/>
          <w:p>
            <w:pPr>
              <w:pStyle w:val="Compact"/>
            </w:pPr>
            <w:r>
              <w:t xml:space="preserve">Architectural Specification (00_Core)</w:t>
            </w:r>
          </w:p>
        </w:tc>
      </w:tr>
    </w:tbl>
    <w:p>
      <w:r>
        <w:pict>
          <v:rect style="width:0;height:1.5pt" o:hralign="center" o:hrstd="t" o:hr="t"/>
        </w:pict>
      </w:r>
    </w:p>
    <w:bookmarkStart w:id="20" w:name="purpose"/>
    <w:p>
      <w:pPr>
        <w:pStyle w:val="Heading2"/>
      </w:pPr>
      <w:r>
        <w:t xml:space="preserve">1.1 2. Purpose</w:t>
      </w:r>
    </w:p>
    <w:p>
      <w:pPr>
        <w:pStyle w:val="FirstParagraph"/>
      </w:pPr>
      <w:r>
        <w:t xml:space="preserve">This document defines the Management Plane of the Unified Identity-Addressing-Overlay (UIAO) architecture. It establishes ServiceNow and Microsoft Intune as the authoritative governance systems responsible for drift detection, configuration integrity, device compliance, continuous authorization, and operational lifecycle management. It also maps their capabilities to NIST SP 800-53 Rev 5 controls required for FedRAMP 20x (Class C) authorization.</w:t>
      </w:r>
    </w:p>
    <w:p>
      <w:r>
        <w:pict>
          <v:rect style="width:0;height:1.5pt" o:hralign="center" o:hrstd="t" o:hr="t"/>
        </w:pict>
      </w:r>
    </w:p>
    <w:bookmarkEnd w:id="20"/>
    <w:bookmarkStart w:id="23" w:name="scope"/>
    <w:p>
      <w:pPr>
        <w:pStyle w:val="Heading2"/>
      </w:pPr>
      <w:r>
        <w:t xml:space="preserve">1.2 3. Scope</w:t>
      </w:r>
    </w:p>
    <w:bookmarkStart w:id="21" w:name="included"/>
    <w:p>
      <w:pPr>
        <w:pStyle w:val="Heading3"/>
      </w:pPr>
      <w:r>
        <w:t xml:space="preserve">1.2.1 Included</w:t>
      </w:r>
    </w:p>
    <w:p>
      <w:pPr>
        <w:pStyle w:val="Compact"/>
        <w:numPr>
          <w:ilvl w:val="0"/>
          <w:numId w:val="1001"/>
        </w:numPr>
      </w:pPr>
      <w:r>
        <w:t xml:space="preserve">Canonical definition of the Management Plane</w:t>
      </w:r>
    </w:p>
    <w:p>
      <w:pPr>
        <w:pStyle w:val="Compact"/>
        <w:numPr>
          <w:ilvl w:val="0"/>
          <w:numId w:val="1001"/>
        </w:numPr>
      </w:pPr>
      <w:r>
        <w:t xml:space="preserve">ServiceNow and Intune roles, responsibilities, and evidence sources</w:t>
      </w:r>
    </w:p>
    <w:p>
      <w:pPr>
        <w:pStyle w:val="Compact"/>
        <w:numPr>
          <w:ilvl w:val="0"/>
          <w:numId w:val="1001"/>
        </w:numPr>
      </w:pPr>
      <w:r>
        <w:t xml:space="preserve">NIST 800-53 Rev 5 control mappings</w:t>
      </w:r>
    </w:p>
    <w:p>
      <w:pPr>
        <w:pStyle w:val="Compact"/>
        <w:numPr>
          <w:ilvl w:val="0"/>
          <w:numId w:val="1001"/>
        </w:numPr>
      </w:pPr>
      <w:r>
        <w:t xml:space="preserve">Integration bindings across UIAO control planes</w:t>
      </w:r>
    </w:p>
    <w:p>
      <w:pPr>
        <w:pStyle w:val="Compact"/>
        <w:numPr>
          <w:ilvl w:val="0"/>
          <w:numId w:val="1001"/>
        </w:numPr>
      </w:pPr>
      <w:r>
        <w:t xml:space="preserve">Governance and drift-remediation workflows</w:t>
      </w:r>
    </w:p>
    <w:bookmarkEnd w:id="21"/>
    <w:bookmarkStart w:id="22" w:name="excluded"/>
    <w:p>
      <w:pPr>
        <w:pStyle w:val="Heading3"/>
      </w:pPr>
      <w:r>
        <w:t xml:space="preserve">1.2.2 Excluded</w:t>
      </w:r>
    </w:p>
    <w:p>
      <w:pPr>
        <w:pStyle w:val="Compact"/>
        <w:numPr>
          <w:ilvl w:val="0"/>
          <w:numId w:val="1002"/>
        </w:numPr>
      </w:pPr>
      <w:r>
        <w:t xml:space="preserve">Vendor-specific deployment instructions</w:t>
      </w:r>
    </w:p>
    <w:p>
      <w:pPr>
        <w:pStyle w:val="Compact"/>
        <w:numPr>
          <w:ilvl w:val="0"/>
          <w:numId w:val="1002"/>
        </w:numPr>
      </w:pPr>
      <w:r>
        <w:t xml:space="preserve">Detailed CMDB schema design</w:t>
      </w:r>
    </w:p>
    <w:p>
      <w:pPr>
        <w:pStyle w:val="Compact"/>
        <w:numPr>
          <w:ilvl w:val="0"/>
          <w:numId w:val="1002"/>
        </w:numPr>
      </w:pPr>
      <w:r>
        <w:t xml:space="preserve">Device configuration baselines (covered in Intune profiles)</w:t>
      </w:r>
    </w:p>
    <w:p>
      <w:r>
        <w:pict>
          <v:rect style="width:0;height:1.5pt" o:hralign="center" o:hrstd="t" o:hr="t"/>
        </w:pict>
      </w:r>
    </w:p>
    <w:bookmarkEnd w:id="22"/>
    <w:bookmarkEnd w:id="23"/>
    <w:bookmarkStart w:id="24" w:name="control-plane-alignment"/>
    <w:p>
      <w:pPr>
        <w:pStyle w:val="Heading2"/>
      </w:pPr>
      <w:r>
        <w:t xml:space="preserve">1.3 4. Control Plane Alignment</w:t>
      </w:r>
    </w:p>
    <w:p>
      <w:pPr>
        <w:pStyle w:val="FirstParagraph"/>
      </w:pPr>
      <w:r>
        <w:t xml:space="preserve">The Management Plane governs and enforces configuration integrity across all six UIAO control planes: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Management Role</w:t>
            </w:r>
          </w:p>
        </w:tc>
      </w:tr>
      <w:tr>
        <w:tc>
          <w:tcPr/>
          <w:p>
            <w:pPr>
              <w:pStyle w:val="Compact"/>
            </w:pPr>
            <w:r>
              <w:t xml:space="preserve">Identity</w:t>
            </w:r>
          </w:p>
        </w:tc>
        <w:tc>
          <w:tcPr/>
          <w:p>
            <w:pPr>
              <w:pStyle w:val="Compact"/>
            </w:pPr>
            <w:r>
              <w:t xml:space="preserve">Device trust, lifecycle synchronization</w:t>
            </w:r>
          </w:p>
        </w:tc>
      </w:tr>
      <w:tr>
        <w:tc>
          <w:tcPr/>
          <w:p>
            <w:pPr>
              <w:pStyle w:val="Compact"/>
            </w:pPr>
            <w:r>
              <w:t xml:space="preserve">Network</w:t>
            </w:r>
          </w:p>
        </w:tc>
        <w:tc>
          <w:tcPr/>
          <w:p>
            <w:pPr>
              <w:pStyle w:val="Compact"/>
            </w:pPr>
            <w:r>
              <w:t xml:space="preserve">Overlay drift detection, segmentation enforcement</w:t>
            </w:r>
          </w:p>
        </w:tc>
      </w:tr>
      <w:tr>
        <w:tc>
          <w:tcPr/>
          <w:p>
            <w:pPr>
              <w:pStyle w:val="Compact"/>
            </w:pPr>
            <w:r>
              <w:t xml:space="preserve">Addressing</w:t>
            </w:r>
          </w:p>
        </w:tc>
        <w:tc>
          <w:tcPr/>
          <w:p>
            <w:pPr>
              <w:pStyle w:val="Compact"/>
            </w:pPr>
            <w:r>
              <w:t xml:space="preserve">IPAM reconciliation, authoritative inventory</w:t>
            </w:r>
          </w:p>
        </w:tc>
      </w:tr>
      <w:tr>
        <w:tc>
          <w:tcPr/>
          <w:p>
            <w:pPr>
              <w:pStyle w:val="Compact"/>
            </w:pPr>
            <w:r>
              <w:t xml:space="preserve">Telemetry</w:t>
            </w:r>
          </w:p>
        </w:tc>
        <w:tc>
          <w:tcPr/>
          <w:p>
            <w:pPr>
              <w:pStyle w:val="Compact"/>
            </w:pPr>
            <w:r>
              <w:t xml:space="preserve">Continuous monitoring, evidence generation</w:t>
            </w:r>
          </w:p>
        </w:tc>
      </w:tr>
      <w:tr>
        <w:tc>
          <w:tcPr/>
          <w:p>
            <w:pPr>
              <w:pStyle w:val="Compact"/>
            </w:pPr>
            <w:r>
              <w:t xml:space="preserve">Security &amp; Compliance</w:t>
            </w:r>
          </w:p>
        </w:tc>
        <w:tc>
          <w:tcPr/>
          <w:p>
            <w:pPr>
              <w:pStyle w:val="Compact"/>
            </w:pPr>
            <w:r>
              <w:t xml:space="preserve">Zero Trust enforcement, FedRAMP alignment</w:t>
            </w:r>
          </w:p>
        </w:tc>
      </w:tr>
      <w:tr>
        <w:tc>
          <w:tcPr/>
          <w:p>
            <w:pPr>
              <w:pStyle w:val="Compact"/>
            </w:pPr>
            <w:r>
              <w:t xml:space="preserve">Management</w:t>
            </w:r>
          </w:p>
        </w:tc>
        <w:tc>
          <w:tcPr/>
          <w:p>
            <w:pPr>
              <w:pStyle w:val="Compact"/>
            </w:pPr>
            <w:r>
              <w:t xml:space="preserve">CMDB, change control, compliance posture</w:t>
            </w:r>
          </w:p>
        </w:tc>
      </w:tr>
    </w:tbl>
    <w:p>
      <w:pPr>
        <w:pStyle w:val="BodyText"/>
      </w:pPr>
      <w:r>
        <w:t xml:space="preserve">ServiceNow and Intune jointly form the authoritative Management Plane.</w:t>
      </w:r>
    </w:p>
    <w:p>
      <w:r>
        <w:pict>
          <v:rect style="width:0;height:1.5pt" o:hralign="center" o:hrstd="t" o:hr="t"/>
        </w:pict>
      </w:r>
    </w:p>
    <w:bookmarkEnd w:id="24"/>
    <w:bookmarkStart w:id="25" w:name="core-concepts"/>
    <w:p>
      <w:pPr>
        <w:pStyle w:val="Heading2"/>
      </w:pPr>
      <w:r>
        <w:t xml:space="preserve">1.4 5. Core Concepts</w:t>
      </w:r>
    </w:p>
    <w:p>
      <w:pPr>
        <w:pStyle w:val="FirstParagraph"/>
      </w:pPr>
      <w:r>
        <w:t xml:space="preserve">The Management Plane operationalizes the Seven Core Concepts:</w:t>
      </w:r>
    </w:p>
    <w:p>
      <w:pPr>
        <w:pStyle w:val="Compact"/>
        <w:numPr>
          <w:ilvl w:val="0"/>
          <w:numId w:val="1003"/>
        </w:numPr>
      </w:pPr>
      <w:r>
        <w:t xml:space="preserve">Conversation as the atomic unit → Incident, change, and configuration events tied to identity and device</w:t>
      </w:r>
    </w:p>
    <w:p>
      <w:pPr>
        <w:pStyle w:val="Compact"/>
        <w:numPr>
          <w:ilvl w:val="0"/>
          <w:numId w:val="1003"/>
        </w:numPr>
      </w:pPr>
      <w:r>
        <w:t xml:space="preserve">Identity as the root namespace → Device trust and configuration bound to identity</w:t>
      </w:r>
    </w:p>
    <w:p>
      <w:pPr>
        <w:pStyle w:val="Compact"/>
        <w:numPr>
          <w:ilvl w:val="0"/>
          <w:numId w:val="1003"/>
        </w:numPr>
      </w:pPr>
      <w:r>
        <w:t xml:space="preserve">Deterministic addressing → CMDB reconciliation with IPAM as source of truth</w:t>
      </w:r>
    </w:p>
    <w:p>
      <w:pPr>
        <w:pStyle w:val="Compact"/>
        <w:numPr>
          <w:ilvl w:val="0"/>
          <w:numId w:val="1003"/>
        </w:numPr>
      </w:pPr>
      <w:r>
        <w:t xml:space="preserve">Certificate-anchored overlay → Certificate drift detection and renewal workflows</w:t>
      </w:r>
    </w:p>
    <w:p>
      <w:pPr>
        <w:pStyle w:val="Compact"/>
        <w:numPr>
          <w:ilvl w:val="0"/>
          <w:numId w:val="1003"/>
        </w:numPr>
      </w:pPr>
      <w:r>
        <w:t xml:space="preserve">Telemetry as control → Compliance signals drive access decisions</w:t>
      </w:r>
    </w:p>
    <w:p>
      <w:pPr>
        <w:pStyle w:val="Compact"/>
        <w:numPr>
          <w:ilvl w:val="0"/>
          <w:numId w:val="1003"/>
        </w:numPr>
      </w:pPr>
      <w:r>
        <w:t xml:space="preserve">Embedded governance &amp; automation → Automated remediation replaces manual tickets</w:t>
      </w:r>
    </w:p>
    <w:p>
      <w:pPr>
        <w:pStyle w:val="Compact"/>
        <w:numPr>
          <w:ilvl w:val="0"/>
          <w:numId w:val="1003"/>
        </w:numPr>
      </w:pPr>
      <w:r>
        <w:t xml:space="preserve">Public service first → Reduced downtime, faster remediation, higher reliability</w:t>
      </w:r>
    </w:p>
    <w:p>
      <w:r>
        <w:pict>
          <v:rect style="width:0;height:1.5pt" o:hralign="center" o:hrstd="t" o:hr="t"/>
        </w:pict>
      </w:r>
    </w:p>
    <w:bookmarkEnd w:id="25"/>
    <w:bookmarkStart w:id="37" w:name="architecture-model"/>
    <w:p>
      <w:pPr>
        <w:pStyle w:val="Heading2"/>
      </w:pPr>
      <w:r>
        <w:t xml:space="preserve">1.5 6. Architecture Model</w:t>
      </w:r>
    </w:p>
    <w:bookmarkStart w:id="26" w:name="overview"/>
    <w:p>
      <w:pPr>
        <w:pStyle w:val="Heading3"/>
      </w:pPr>
      <w:r>
        <w:t xml:space="preserve">1.5.1 6.1 Overview</w:t>
      </w:r>
    </w:p>
    <w:p>
      <w:pPr>
        <w:pStyle w:val="FirstParagraph"/>
      </w:pPr>
      <w:r>
        <w:t xml:space="preserve">The Management Plane ensures that UIAO remains drift-resistant, continuously authorized, and operationally compliant. It integrates:</w:t>
      </w:r>
    </w:p>
    <w:p>
      <w:pPr>
        <w:pStyle w:val="Compact"/>
        <w:numPr>
          <w:ilvl w:val="0"/>
          <w:numId w:val="1004"/>
        </w:numPr>
      </w:pPr>
      <w:r>
        <w:rPr>
          <w:b/>
          <w:bCs/>
        </w:rPr>
        <w:t xml:space="preserve">ServiceNow</w:t>
      </w:r>
      <w:r>
        <w:t xml:space="preserve"> </w:t>
      </w:r>
      <w:r>
        <w:t xml:space="preserve">→ System of record for incidents, changes, CMDB, and governance</w:t>
      </w:r>
    </w:p>
    <w:p>
      <w:pPr>
        <w:pStyle w:val="Compact"/>
        <w:numPr>
          <w:ilvl w:val="0"/>
          <w:numId w:val="1004"/>
        </w:numPr>
      </w:pPr>
      <w:r>
        <w:rPr>
          <w:b/>
          <w:bCs/>
        </w:rPr>
        <w:t xml:space="preserve">Microsoft Intune</w:t>
      </w:r>
      <w:r>
        <w:t xml:space="preserve"> </w:t>
      </w:r>
      <w:r>
        <w:t xml:space="preserve">→ Device compliance, configuration baselines, and hardware/software inventory</w:t>
      </w:r>
    </w:p>
    <w:p>
      <w:pPr>
        <w:pStyle w:val="FirstParagraph"/>
      </w:pPr>
      <w:r>
        <w:t xml:space="preserve">Together, they provide:</w:t>
      </w:r>
    </w:p>
    <w:p>
      <w:pPr>
        <w:pStyle w:val="Compact"/>
        <w:numPr>
          <w:ilvl w:val="0"/>
          <w:numId w:val="1005"/>
        </w:numPr>
      </w:pPr>
      <w:r>
        <w:t xml:space="preserve">Authoritative asset inventory (CM-8)</w:t>
      </w:r>
    </w:p>
    <w:p>
      <w:pPr>
        <w:pStyle w:val="Compact"/>
        <w:numPr>
          <w:ilvl w:val="0"/>
          <w:numId w:val="1005"/>
        </w:numPr>
      </w:pPr>
      <w:r>
        <w:t xml:space="preserve">Baseline configuration enforcement (CM-2, CM-6)</w:t>
      </w:r>
    </w:p>
    <w:p>
      <w:pPr>
        <w:pStyle w:val="Compact"/>
        <w:numPr>
          <w:ilvl w:val="0"/>
          <w:numId w:val="1005"/>
        </w:numPr>
      </w:pPr>
      <w:r>
        <w:t xml:space="preserve">Drift detection and remediation (CM-3, CA-7)</w:t>
      </w:r>
    </w:p>
    <w:p>
      <w:pPr>
        <w:pStyle w:val="Compact"/>
        <w:numPr>
          <w:ilvl w:val="0"/>
          <w:numId w:val="1005"/>
        </w:numPr>
      </w:pPr>
      <w:r>
        <w:t xml:space="preserve">Device trust for Conditional Access (AC-19)</w:t>
      </w:r>
    </w:p>
    <w:p>
      <w:pPr>
        <w:pStyle w:val="Compact"/>
        <w:numPr>
          <w:ilvl w:val="0"/>
          <w:numId w:val="1005"/>
        </w:numPr>
      </w:pPr>
      <w:r>
        <w:t xml:space="preserve">Evidence for FedRAMP 20x telemetry validation</w:t>
      </w:r>
    </w:p>
    <w:bookmarkEnd w:id="26"/>
    <w:bookmarkStart w:id="31" w:name="servicenow-govcommunitycloud"/>
    <w:p>
      <w:pPr>
        <w:pStyle w:val="Heading3"/>
      </w:pPr>
      <w:r>
        <w:t xml:space="preserve">1.5.2 6.2 ServiceNow — GovCommunityCloud</w:t>
      </w:r>
    </w:p>
    <w:bookmarkStart w:id="27" w:name="role"/>
    <w:p>
      <w:pPr>
        <w:pStyle w:val="Heading4"/>
      </w:pPr>
      <w:r>
        <w:t xml:space="preserve">1.5.2.1 Role</w:t>
      </w:r>
    </w:p>
    <w:p>
      <w:pPr>
        <w:pStyle w:val="FirstParagraph"/>
      </w:pPr>
      <w:r>
        <w:t xml:space="preserve">ServiceNow is the system of record for:</w:t>
      </w:r>
    </w:p>
    <w:p>
      <w:pPr>
        <w:pStyle w:val="Compact"/>
        <w:numPr>
          <w:ilvl w:val="0"/>
          <w:numId w:val="1006"/>
        </w:numPr>
      </w:pPr>
      <w:r>
        <w:t xml:space="preserve">Incident lifecycle management</w:t>
      </w:r>
    </w:p>
    <w:p>
      <w:pPr>
        <w:pStyle w:val="Compact"/>
        <w:numPr>
          <w:ilvl w:val="0"/>
          <w:numId w:val="1006"/>
        </w:numPr>
      </w:pPr>
      <w:r>
        <w:t xml:space="preserve">Change control</w:t>
      </w:r>
    </w:p>
    <w:p>
      <w:pPr>
        <w:pStyle w:val="Compact"/>
        <w:numPr>
          <w:ilvl w:val="0"/>
          <w:numId w:val="1006"/>
        </w:numPr>
      </w:pPr>
      <w:r>
        <w:t xml:space="preserve">CMDB asset inventory</w:t>
      </w:r>
    </w:p>
    <w:p>
      <w:pPr>
        <w:pStyle w:val="Compact"/>
        <w:numPr>
          <w:ilvl w:val="0"/>
          <w:numId w:val="1006"/>
        </w:numPr>
      </w:pPr>
      <w:r>
        <w:t xml:space="preserve">Continuous authorization</w:t>
      </w:r>
    </w:p>
    <w:p>
      <w:pPr>
        <w:pStyle w:val="Compact"/>
        <w:numPr>
          <w:ilvl w:val="0"/>
          <w:numId w:val="1006"/>
        </w:numPr>
      </w:pPr>
      <w:r>
        <w:t xml:space="preserve">Overlay drift detection</w:t>
      </w:r>
    </w:p>
    <w:p>
      <w:pPr>
        <w:pStyle w:val="Compact"/>
        <w:numPr>
          <w:ilvl w:val="0"/>
          <w:numId w:val="1006"/>
        </w:numPr>
      </w:pPr>
      <w:r>
        <w:t xml:space="preserve">Automated remediation workflows</w:t>
      </w:r>
    </w:p>
    <w:bookmarkEnd w:id="27"/>
    <w:bookmarkStart w:id="28" w:name="fedramp-authorization"/>
    <w:p>
      <w:pPr>
        <w:pStyle w:val="Heading4"/>
      </w:pPr>
      <w:r>
        <w:t xml:space="preserve">1.5.2.2 FedRAMP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Package Type</w:t>
            </w:r>
          </w:p>
        </w:tc>
        <w:tc>
          <w:tcPr/>
          <w:p>
            <w:pPr>
              <w:pStyle w:val="Compact"/>
            </w:pPr>
            <w:r>
              <w:t xml:space="preserve">JAB P-ATO</w:t>
            </w:r>
          </w:p>
        </w:tc>
      </w:tr>
      <w:tr>
        <w:tc>
          <w:tcPr/>
          <w:p>
            <w:pPr>
              <w:pStyle w:val="Compact"/>
            </w:pPr>
            <w:r>
              <w:t xml:space="preserve">Impact Level</w:t>
            </w:r>
          </w:p>
        </w:tc>
        <w:tc>
          <w:tcPr/>
          <w:p>
            <w:pPr>
              <w:pStyle w:val="Compact"/>
            </w:pPr>
            <w:r>
              <w:t xml:space="preserve">High</w:t>
            </w:r>
          </w:p>
        </w:tc>
      </w:tr>
      <w:tr>
        <w:tc>
          <w:tcPr/>
          <w:p>
            <w:pPr>
              <w:pStyle w:val="Compact"/>
            </w:pPr>
            <w:r>
              <w:t xml:space="preserve">FedRAMP 20x Class</w:t>
            </w:r>
          </w:p>
        </w:tc>
        <w:tc>
          <w:tcPr/>
          <w:p>
            <w:pPr>
              <w:pStyle w:val="Compact"/>
            </w:pPr>
            <w:r>
              <w:t xml:space="preserve">Class C</w:t>
            </w:r>
          </w:p>
        </w:tc>
      </w:tr>
      <w:tr>
        <w:tc>
          <w:tcPr/>
          <w:p>
            <w:pPr>
              <w:pStyle w:val="Compact"/>
            </w:pPr>
            <w:r>
              <w:t xml:space="preserve">Controls Assessed</w:t>
            </w:r>
          </w:p>
        </w:tc>
        <w:tc>
          <w:tcPr/>
          <w:p>
            <w:pPr>
              <w:pStyle w:val="Compact"/>
            </w:pPr>
            <w:r>
              <w:t xml:space="preserve">421</w:t>
            </w:r>
          </w:p>
        </w:tc>
      </w:tr>
      <w:tr>
        <w:tc>
          <w:tcPr/>
          <w:p>
            <w:pPr>
              <w:pStyle w:val="Compact"/>
            </w:pPr>
            <w:r>
              <w:t xml:space="preserve">Framework</w:t>
            </w:r>
          </w:p>
        </w:tc>
        <w:tc>
          <w:tcPr/>
          <w:p>
            <w:pPr>
              <w:pStyle w:val="Compact"/>
            </w:pPr>
            <w:r>
              <w:t xml:space="preserve">NIST SP 800-53 Rev 5</w:t>
            </w:r>
          </w:p>
        </w:tc>
      </w:tr>
    </w:tbl>
    <w:bookmarkEnd w:id="28"/>
    <w:bookmarkStart w:id="29" w:name="nist-control-mappings"/>
    <w:p>
      <w:pPr>
        <w:pStyle w:val="Heading4"/>
      </w:pPr>
      <w:r>
        <w:t xml:space="preserve">1.5.2.3 NIST Control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Function</w:t>
            </w:r>
          </w:p>
        </w:tc>
        <w:tc>
          <w:tcPr/>
          <w:p>
            <w:pPr>
              <w:pStyle w:val="Compact"/>
            </w:pPr>
            <w:r>
              <w:t xml:space="preserve">Evidence Source</w:t>
            </w:r>
          </w:p>
        </w:tc>
      </w:tr>
      <w:tr>
        <w:tc>
          <w:tcPr/>
          <w:p>
            <w:pPr>
              <w:pStyle w:val="Compact"/>
            </w:pPr>
            <w:r>
              <w:t xml:space="preserve">IR-4</w:t>
            </w:r>
          </w:p>
        </w:tc>
        <w:tc>
          <w:tcPr/>
          <w:p>
            <w:pPr>
              <w:pStyle w:val="Compact"/>
            </w:pPr>
            <w:r>
              <w:t xml:space="preserve">Incident handling</w:t>
            </w:r>
          </w:p>
        </w:tc>
        <w:tc>
          <w:tcPr/>
          <w:p>
            <w:pPr>
              <w:pStyle w:val="Compact"/>
            </w:pPr>
            <w:r>
              <w:t xml:space="preserve">Incident audit trail</w:t>
            </w:r>
          </w:p>
        </w:tc>
      </w:tr>
      <w:tr>
        <w:tc>
          <w:tcPr/>
          <w:p>
            <w:pPr>
              <w:pStyle w:val="Compact"/>
            </w:pPr>
            <w:r>
              <w:t xml:space="preserve">IR-5</w:t>
            </w:r>
          </w:p>
        </w:tc>
        <w:tc>
          <w:tcPr/>
          <w:p>
            <w:pPr>
              <w:pStyle w:val="Compact"/>
            </w:pPr>
            <w:r>
              <w:t xml:space="preserve">Incident monitoring</w:t>
            </w:r>
          </w:p>
        </w:tc>
        <w:tc>
          <w:tcPr/>
          <w:p>
            <w:pPr>
              <w:pStyle w:val="Compact"/>
            </w:pPr>
            <w:r>
              <w:t xml:space="preserve">PA dashboards, SLA logs</w:t>
            </w:r>
          </w:p>
        </w:tc>
      </w:tr>
      <w:tr>
        <w:tc>
          <w:tcPr/>
          <w:p>
            <w:pPr>
              <w:pStyle w:val="Compact"/>
            </w:pPr>
            <w:r>
              <w:t xml:space="preserve">IR-6</w:t>
            </w:r>
          </w:p>
        </w:tc>
        <w:tc>
          <w:tcPr/>
          <w:p>
            <w:pPr>
              <w:pStyle w:val="Compact"/>
            </w:pPr>
            <w:r>
              <w:t xml:space="preserve">Incident reporting</w:t>
            </w:r>
          </w:p>
        </w:tc>
        <w:tc>
          <w:tcPr/>
          <w:p>
            <w:pPr>
              <w:pStyle w:val="Compact"/>
            </w:pPr>
            <w:r>
              <w:t xml:space="preserve">Notification engine logs</w:t>
            </w:r>
          </w:p>
        </w:tc>
      </w:tr>
      <w:tr>
        <w:tc>
          <w:tcPr/>
          <w:p>
            <w:pPr>
              <w:pStyle w:val="Compact"/>
            </w:pPr>
            <w:r>
              <w:t xml:space="preserve">IR-8</w:t>
            </w:r>
          </w:p>
        </w:tc>
        <w:tc>
          <w:tcPr/>
          <w:p>
            <w:pPr>
              <w:pStyle w:val="Compact"/>
            </w:pPr>
            <w:r>
              <w:t xml:space="preserve">Incident response plan</w:t>
            </w:r>
          </w:p>
        </w:tc>
        <w:tc>
          <w:tcPr/>
          <w:p>
            <w:pPr>
              <w:pStyle w:val="Compact"/>
            </w:pPr>
            <w:r>
              <w:t xml:space="preserve">GRC policy version history</w:t>
            </w:r>
          </w:p>
        </w:tc>
      </w:tr>
      <w:tr>
        <w:tc>
          <w:tcPr/>
          <w:p>
            <w:pPr>
              <w:pStyle w:val="Compact"/>
            </w:pPr>
            <w:r>
              <w:t xml:space="preserve">CM-3</w:t>
            </w:r>
          </w:p>
        </w:tc>
        <w:tc>
          <w:tcPr/>
          <w:p>
            <w:pPr>
              <w:pStyle w:val="Compact"/>
            </w:pPr>
            <w:r>
              <w:t xml:space="preserve">Change control</w:t>
            </w:r>
          </w:p>
        </w:tc>
        <w:tc>
          <w:tcPr/>
          <w:p>
            <w:pPr>
              <w:pStyle w:val="Compact"/>
            </w:pPr>
            <w:r>
              <w:t xml:space="preserve">CAB approvals, risk scoring</w:t>
            </w:r>
          </w:p>
        </w:tc>
      </w:tr>
      <w:tr>
        <w:tc>
          <w:tcPr/>
          <w:p>
            <w:pPr>
              <w:pStyle w:val="Compact"/>
            </w:pPr>
            <w:r>
              <w:t xml:space="preserve">CM-8</w:t>
            </w:r>
          </w:p>
        </w:tc>
        <w:tc>
          <w:tcPr/>
          <w:p>
            <w:pPr>
              <w:pStyle w:val="Compact"/>
            </w:pPr>
            <w:r>
              <w:t xml:space="preserve">Asset inventory</w:t>
            </w:r>
          </w:p>
        </w:tc>
        <w:tc>
          <w:tcPr/>
          <w:p>
            <w:pPr>
              <w:pStyle w:val="Compact"/>
            </w:pPr>
            <w:r>
              <w:t xml:space="preserve">CMDB + Discovery</w:t>
            </w:r>
          </w:p>
        </w:tc>
      </w:tr>
      <w:tr>
        <w:tc>
          <w:tcPr/>
          <w:p>
            <w:pPr>
              <w:pStyle w:val="Compact"/>
            </w:pPr>
            <w:r>
              <w:t xml:space="preserve">CA-7</w:t>
            </w:r>
          </w:p>
        </w:tc>
        <w:tc>
          <w:tcPr/>
          <w:p>
            <w:pPr>
              <w:pStyle w:val="Compact"/>
            </w:pPr>
            <w:r>
              <w:t xml:space="preserve">Continuous monitoring</w:t>
            </w:r>
          </w:p>
        </w:tc>
        <w:tc>
          <w:tcPr/>
          <w:p>
            <w:pPr>
              <w:pStyle w:val="Compact"/>
            </w:pPr>
            <w:r>
              <w:t xml:space="preserve">Continuous Authorization module</w:t>
            </w:r>
          </w:p>
        </w:tc>
      </w:tr>
      <w:tr>
        <w:tc>
          <w:tcPr/>
          <w:p>
            <w:pPr>
              <w:pStyle w:val="Compact"/>
            </w:pPr>
            <w:r>
              <w:t xml:space="preserve">SA-9</w:t>
            </w:r>
          </w:p>
        </w:tc>
        <w:tc>
          <w:tcPr/>
          <w:p>
            <w:pPr>
              <w:pStyle w:val="Compact"/>
            </w:pPr>
            <w:r>
              <w:t xml:space="preserve">External system services</w:t>
            </w:r>
          </w:p>
        </w:tc>
        <w:tc>
          <w:tcPr/>
          <w:p>
            <w:pPr>
              <w:pStyle w:val="Compact"/>
            </w:pPr>
            <w:r>
              <w:t xml:space="preserve">Vendor Risk Management</w:t>
            </w:r>
          </w:p>
        </w:tc>
      </w:tr>
    </w:tbl>
    <w:bookmarkEnd w:id="29"/>
    <w:bookmarkStart w:id="30" w:name="integration-bindings"/>
    <w:p>
      <w:pPr>
        <w:pStyle w:val="Heading4"/>
      </w:pPr>
      <w:r>
        <w:t xml:space="preserve">1.5.2.4 Integration Bindings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System</w:t>
            </w:r>
          </w:p>
        </w:tc>
        <w:tc>
          <w:tcPr/>
          <w:p>
            <w:pPr>
              <w:pStyle w:val="Compact"/>
            </w:pPr>
            <w:r>
              <w:t xml:space="preserve">Mechanism</w:t>
            </w:r>
          </w:p>
        </w:tc>
        <w:tc>
          <w:tcPr/>
          <w:p>
            <w:pPr>
              <w:pStyle w:val="Compact"/>
            </w:pPr>
            <w:r>
              <w:t xml:space="preserve">Control Supported</w:t>
            </w:r>
          </w:p>
        </w:tc>
      </w:tr>
      <w:tr>
        <w:tc>
          <w:tcPr/>
          <w:p>
            <w:pPr>
              <w:pStyle w:val="Compact"/>
            </w:pPr>
            <w:r>
              <w:t xml:space="preserve">Infoblox IPAM</w:t>
            </w:r>
          </w:p>
        </w:tc>
        <w:tc>
          <w:tcPr/>
          <w:p>
            <w:pPr>
              <w:pStyle w:val="Compact"/>
            </w:pPr>
            <w:r>
              <w:t xml:space="preserve">CMDB import</w:t>
            </w:r>
          </w:p>
        </w:tc>
        <w:tc>
          <w:tcPr/>
          <w:p>
            <w:pPr>
              <w:pStyle w:val="Compact"/>
            </w:pPr>
            <w:r>
              <w:t xml:space="preserve">CM-8</w:t>
            </w:r>
          </w:p>
        </w:tc>
      </w:tr>
      <w:tr>
        <w:tc>
          <w:tcPr/>
          <w:p>
            <w:pPr>
              <w:pStyle w:val="Compact"/>
            </w:pPr>
            <w:r>
              <w:t xml:space="preserve">CyberArk</w:t>
            </w:r>
          </w:p>
        </w:tc>
        <w:tc>
          <w:tcPr/>
          <w:p>
            <w:pPr>
              <w:pStyle w:val="Compact"/>
            </w:pPr>
            <w:r>
              <w:t xml:space="preserve">Privileged session events</w:t>
            </w:r>
          </w:p>
        </w:tc>
        <w:tc>
          <w:tcPr/>
          <w:p>
            <w:pPr>
              <w:pStyle w:val="Compact"/>
            </w:pPr>
            <w:r>
              <w:t xml:space="preserve">IR-4</w:t>
            </w:r>
          </w:p>
        </w:tc>
      </w:tr>
      <w:tr>
        <w:tc>
          <w:tcPr/>
          <w:p>
            <w:pPr>
              <w:pStyle w:val="Compact"/>
            </w:pPr>
            <w:r>
              <w:t xml:space="preserve">Microsoft Sentinel</w:t>
            </w:r>
          </w:p>
        </w:tc>
        <w:tc>
          <w:tcPr/>
          <w:p>
            <w:pPr>
              <w:pStyle w:val="Compact"/>
            </w:pPr>
            <w:r>
              <w:t xml:space="preserve">Incident sync</w:t>
            </w:r>
          </w:p>
        </w:tc>
        <w:tc>
          <w:tcPr/>
          <w:p>
            <w:pPr>
              <w:pStyle w:val="Compact"/>
            </w:pPr>
            <w:r>
              <w:t xml:space="preserve">IR-5</w:t>
            </w:r>
          </w:p>
        </w:tc>
      </w:tr>
      <w:tr>
        <w:tc>
          <w:tcPr/>
          <w:p>
            <w:pPr>
              <w:pStyle w:val="Compact"/>
            </w:pPr>
            <w:r>
              <w:t xml:space="preserve">Microsoft Intune</w:t>
            </w:r>
          </w:p>
        </w:tc>
        <w:tc>
          <w:tcPr/>
          <w:p>
            <w:pPr>
              <w:pStyle w:val="Compact"/>
            </w:pPr>
            <w:r>
              <w:t xml:space="preserve">Device inventory</w:t>
            </w:r>
          </w:p>
        </w:tc>
        <w:tc>
          <w:tcPr/>
          <w:p>
            <w:pPr>
              <w:pStyle w:val="Compact"/>
            </w:pPr>
            <w:r>
              <w:t xml:space="preserve">CM-8</w:t>
            </w:r>
          </w:p>
        </w:tc>
      </w:tr>
    </w:tbl>
    <w:bookmarkEnd w:id="30"/>
    <w:bookmarkEnd w:id="31"/>
    <w:bookmarkStart w:id="36" w:name="microsoft-intune-m365-gcc-high"/>
    <w:p>
      <w:pPr>
        <w:pStyle w:val="Heading3"/>
      </w:pPr>
      <w:r>
        <w:t xml:space="preserve">1.5.3 6.3 Microsoft Intune — M365 GCC High</w:t>
      </w:r>
    </w:p>
    <w:bookmarkStart w:id="32" w:name="role-1"/>
    <w:p>
      <w:pPr>
        <w:pStyle w:val="Heading4"/>
      </w:pPr>
      <w:r>
        <w:t xml:space="preserve">1.5.3.1 Role</w:t>
      </w:r>
    </w:p>
    <w:p>
      <w:pPr>
        <w:pStyle w:val="FirstParagraph"/>
      </w:pPr>
      <w:r>
        <w:t xml:space="preserve">Intune is the device trust gatekeeper for the Identity Plane and the configuration enforcement engine for the Management Plane.</w:t>
      </w:r>
    </w:p>
    <w:bookmarkEnd w:id="32"/>
    <w:bookmarkStart w:id="33" w:name="fedramp-authorization-1"/>
    <w:p>
      <w:pPr>
        <w:pStyle w:val="Heading4"/>
      </w:pPr>
      <w:r>
        <w:t xml:space="preserve">1.5.3.2 FedRAMP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Package Type</w:t>
            </w:r>
          </w:p>
        </w:tc>
        <w:tc>
          <w:tcPr/>
          <w:p>
            <w:pPr>
              <w:pStyle w:val="Compact"/>
            </w:pPr>
            <w:r>
              <w:t xml:space="preserve">Agency ATO</w:t>
            </w:r>
          </w:p>
        </w:tc>
      </w:tr>
      <w:tr>
        <w:tc>
          <w:tcPr/>
          <w:p>
            <w:pPr>
              <w:pStyle w:val="Compact"/>
            </w:pPr>
            <w:r>
              <w:t xml:space="preserve">Impact Level</w:t>
            </w:r>
          </w:p>
        </w:tc>
        <w:tc>
          <w:tcPr/>
          <w:p>
            <w:pPr>
              <w:pStyle w:val="Compact"/>
            </w:pPr>
            <w:r>
              <w:t xml:space="preserve">High</w:t>
            </w:r>
          </w:p>
        </w:tc>
      </w:tr>
      <w:tr>
        <w:tc>
          <w:tcPr/>
          <w:p>
            <w:pPr>
              <w:pStyle w:val="Compact"/>
            </w:pPr>
            <w:r>
              <w:t xml:space="preserve">FedRAMP 20x Class</w:t>
            </w:r>
          </w:p>
        </w:tc>
        <w:tc>
          <w:tcPr/>
          <w:p>
            <w:pPr>
              <w:pStyle w:val="Compact"/>
            </w:pPr>
            <w:r>
              <w:t xml:space="preserve">Class C</w:t>
            </w:r>
          </w:p>
        </w:tc>
      </w:tr>
      <w:tr>
        <w:tc>
          <w:tcPr/>
          <w:p>
            <w:pPr>
              <w:pStyle w:val="Compact"/>
            </w:pPr>
            <w:r>
              <w:t xml:space="preserve">Parent Package</w:t>
            </w:r>
          </w:p>
        </w:tc>
        <w:tc>
          <w:tcPr/>
          <w:p>
            <w:pPr>
              <w:pStyle w:val="Compact"/>
            </w:pPr>
            <w:r>
              <w:t xml:space="preserve">Microsoft 365 GCC High</w:t>
            </w:r>
          </w:p>
        </w:tc>
      </w:tr>
    </w:tbl>
    <w:bookmarkEnd w:id="33"/>
    <w:bookmarkStart w:id="34" w:name="nist-control-mappings-1"/>
    <w:p>
      <w:pPr>
        <w:pStyle w:val="Heading4"/>
      </w:pPr>
      <w:r>
        <w:t xml:space="preserve">1.5.3.3 NIST Control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Function</w:t>
            </w:r>
          </w:p>
        </w:tc>
        <w:tc>
          <w:tcPr/>
          <w:p>
            <w:pPr>
              <w:pStyle w:val="Compact"/>
            </w:pPr>
            <w:r>
              <w:t xml:space="preserve">Evidence Source</w:t>
            </w:r>
          </w:p>
        </w:tc>
      </w:tr>
      <w:tr>
        <w:tc>
          <w:tcPr/>
          <w:p>
            <w:pPr>
              <w:pStyle w:val="Compact"/>
            </w:pPr>
            <w:r>
              <w:t xml:space="preserve">CM-2</w:t>
            </w:r>
          </w:p>
        </w:tc>
        <w:tc>
          <w:tcPr/>
          <w:p>
            <w:pPr>
              <w:pStyle w:val="Compact"/>
            </w:pPr>
            <w:r>
              <w:t xml:space="preserve">Baseline configuration</w:t>
            </w:r>
          </w:p>
        </w:tc>
        <w:tc>
          <w:tcPr/>
          <w:p>
            <w:pPr>
              <w:pStyle w:val="Compact"/>
            </w:pPr>
            <w:r>
              <w:t xml:space="preserve">Configuration profiles</w:t>
            </w:r>
          </w:p>
        </w:tc>
      </w:tr>
      <w:tr>
        <w:tc>
          <w:tcPr/>
          <w:p>
            <w:pPr>
              <w:pStyle w:val="Compact"/>
            </w:pPr>
            <w:r>
              <w:t xml:space="preserve">CM-6</w:t>
            </w:r>
          </w:p>
        </w:tc>
        <w:tc>
          <w:tcPr/>
          <w:p>
            <w:pPr>
              <w:pStyle w:val="Compact"/>
            </w:pPr>
            <w:r>
              <w:t xml:space="preserve">Configuration settings</w:t>
            </w:r>
          </w:p>
        </w:tc>
        <w:tc>
          <w:tcPr/>
          <w:p>
            <w:pPr>
              <w:pStyle w:val="Compact"/>
            </w:pPr>
            <w:r>
              <w:t xml:space="preserve">Security baselines</w:t>
            </w:r>
          </w:p>
        </w:tc>
      </w:tr>
      <w:tr>
        <w:tc>
          <w:tcPr/>
          <w:p>
            <w:pPr>
              <w:pStyle w:val="Compact"/>
            </w:pPr>
            <w:r>
              <w:t xml:space="preserve">CM-8</w:t>
            </w:r>
          </w:p>
        </w:tc>
        <w:tc>
          <w:tcPr/>
          <w:p>
            <w:pPr>
              <w:pStyle w:val="Compact"/>
            </w:pPr>
            <w:r>
              <w:t xml:space="preserve">Hardware/software inventory</w:t>
            </w:r>
          </w:p>
        </w:tc>
        <w:tc>
          <w:tcPr/>
          <w:p>
            <w:pPr>
              <w:pStyle w:val="Compact"/>
            </w:pPr>
            <w:r>
              <w:t xml:space="preserve">Device inventory API</w:t>
            </w:r>
          </w:p>
        </w:tc>
      </w:tr>
      <w:tr>
        <w:tc>
          <w:tcPr/>
          <w:p>
            <w:pPr>
              <w:pStyle w:val="Compact"/>
            </w:pPr>
            <w:r>
              <w:t xml:space="preserve">CM-7</w:t>
            </w:r>
          </w:p>
        </w:tc>
        <w:tc>
          <w:tcPr/>
          <w:p>
            <w:pPr>
              <w:pStyle w:val="Compact"/>
            </w:pPr>
            <w:r>
              <w:t xml:space="preserve">Least functionality</w:t>
            </w:r>
          </w:p>
        </w:tc>
        <w:tc>
          <w:tcPr/>
          <w:p>
            <w:pPr>
              <w:pStyle w:val="Compact"/>
            </w:pPr>
            <w:r>
              <w:t xml:space="preserve">App protection policies</w:t>
            </w:r>
          </w:p>
        </w:tc>
      </w:tr>
      <w:tr>
        <w:tc>
          <w:tcPr/>
          <w:p>
            <w:pPr>
              <w:pStyle w:val="Compact"/>
            </w:pPr>
            <w:r>
              <w:t xml:space="preserve">IA-3</w:t>
            </w:r>
          </w:p>
        </w:tc>
        <w:tc>
          <w:tcPr/>
          <w:p>
            <w:pPr>
              <w:pStyle w:val="Compact"/>
            </w:pPr>
            <w:r>
              <w:t xml:space="preserve">Device identification</w:t>
            </w:r>
          </w:p>
        </w:tc>
        <w:tc>
          <w:tcPr/>
          <w:p>
            <w:pPr>
              <w:pStyle w:val="Compact"/>
            </w:pPr>
            <w:r>
              <w:t xml:space="preserve">Autopilot + certificates</w:t>
            </w:r>
          </w:p>
        </w:tc>
      </w:tr>
      <w:tr>
        <w:tc>
          <w:tcPr/>
          <w:p>
            <w:pPr>
              <w:pStyle w:val="Compact"/>
            </w:pPr>
            <w:r>
              <w:t xml:space="preserve">AC-19</w:t>
            </w:r>
          </w:p>
        </w:tc>
        <w:tc>
          <w:tcPr/>
          <w:p>
            <w:pPr>
              <w:pStyle w:val="Compact"/>
            </w:pPr>
            <w:r>
              <w:t xml:space="preserve">Mobile device access control</w:t>
            </w:r>
          </w:p>
        </w:tc>
        <w:tc>
          <w:tcPr/>
          <w:p>
            <w:pPr>
              <w:pStyle w:val="Compact"/>
            </w:pPr>
            <w:r>
              <w:t xml:space="preserve">Compliance policies</w:t>
            </w:r>
          </w:p>
        </w:tc>
      </w:tr>
      <w:tr>
        <w:tc>
          <w:tcPr/>
          <w:p>
            <w:pPr>
              <w:pStyle w:val="Compact"/>
            </w:pPr>
            <w:r>
              <w:t xml:space="preserve">SI-2</w:t>
            </w:r>
          </w:p>
        </w:tc>
        <w:tc>
          <w:tcPr/>
          <w:p>
            <w:pPr>
              <w:pStyle w:val="Compact"/>
            </w:pPr>
            <w:r>
              <w:t xml:space="preserve">Flaw remediation</w:t>
            </w:r>
          </w:p>
        </w:tc>
        <w:tc>
          <w:tcPr/>
          <w:p>
            <w:pPr>
              <w:pStyle w:val="Compact"/>
            </w:pPr>
            <w:r>
              <w:t xml:space="preserve">Update rings</w:t>
            </w:r>
          </w:p>
        </w:tc>
      </w:tr>
      <w:tr>
        <w:tc>
          <w:tcPr/>
          <w:p>
            <w:pPr>
              <w:pStyle w:val="Compact"/>
            </w:pPr>
            <w:r>
              <w:t xml:space="preserve">SC-28</w:t>
            </w:r>
          </w:p>
        </w:tc>
        <w:tc>
          <w:tcPr/>
          <w:p>
            <w:pPr>
              <w:pStyle w:val="Compact"/>
            </w:pPr>
            <w:r>
              <w:t xml:space="preserve">Encryption at rest</w:t>
            </w:r>
          </w:p>
        </w:tc>
        <w:tc>
          <w:tcPr/>
          <w:p>
            <w:pPr>
              <w:pStyle w:val="Compact"/>
            </w:pPr>
            <w:r>
              <w:t xml:space="preserve">BitLocker/FileVault status</w:t>
            </w:r>
          </w:p>
        </w:tc>
      </w:tr>
    </w:tbl>
    <w:bookmarkEnd w:id="34"/>
    <w:bookmarkStart w:id="35" w:name="integration-bindings-1"/>
    <w:p>
      <w:pPr>
        <w:pStyle w:val="Heading4"/>
      </w:pPr>
      <w:r>
        <w:t xml:space="preserve">1.5.3.4 Integration Bindings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System</w:t>
            </w:r>
          </w:p>
        </w:tc>
        <w:tc>
          <w:tcPr/>
          <w:p>
            <w:pPr>
              <w:pStyle w:val="Compact"/>
            </w:pPr>
            <w:r>
              <w:t xml:space="preserve">Mechanism</w:t>
            </w:r>
          </w:p>
        </w:tc>
        <w:tc>
          <w:tcPr/>
          <w:p>
            <w:pPr>
              <w:pStyle w:val="Compact"/>
            </w:pPr>
            <w:r>
              <w:t xml:space="preserve">Control Supported</w:t>
            </w:r>
          </w:p>
        </w:tc>
      </w:tr>
      <w:tr>
        <w:tc>
          <w:tcPr/>
          <w:p>
            <w:pPr>
              <w:pStyle w:val="Compact"/>
            </w:pPr>
            <w:r>
              <w:t xml:space="preserve">Entra ID</w:t>
            </w:r>
          </w:p>
        </w:tc>
        <w:tc>
          <w:tcPr/>
          <w:p>
            <w:pPr>
              <w:pStyle w:val="Compact"/>
            </w:pPr>
            <w:r>
              <w:t xml:space="preserve">Compliance → Conditional Access</w:t>
            </w:r>
          </w:p>
        </w:tc>
        <w:tc>
          <w:tcPr/>
          <w:p>
            <w:pPr>
              <w:pStyle w:val="Compact"/>
            </w:pPr>
            <w:r>
              <w:t xml:space="preserve">AC-19</w:t>
            </w:r>
          </w:p>
        </w:tc>
      </w:tr>
      <w:tr>
        <w:tc>
          <w:tcPr/>
          <w:p>
            <w:pPr>
              <w:pStyle w:val="Compact"/>
            </w:pPr>
            <w:r>
              <w:t xml:space="preserve">Defender for Endpoint</w:t>
            </w:r>
          </w:p>
        </w:tc>
        <w:tc>
          <w:tcPr/>
          <w:p>
            <w:pPr>
              <w:pStyle w:val="Compact"/>
            </w:pPr>
            <w:r>
              <w:t xml:space="preserve">Risk score → compliance</w:t>
            </w:r>
          </w:p>
        </w:tc>
        <w:tc>
          <w:tcPr/>
          <w:p>
            <w:pPr>
              <w:pStyle w:val="Compact"/>
            </w:pPr>
            <w:r>
              <w:t xml:space="preserve">SI-2, IA-3</w:t>
            </w:r>
          </w:p>
        </w:tc>
      </w:tr>
      <w:tr>
        <w:tc>
          <w:tcPr/>
          <w:p>
            <w:pPr>
              <w:pStyle w:val="Compact"/>
            </w:pPr>
            <w:r>
              <w:t xml:space="preserve">ServiceNow CMDB</w:t>
            </w:r>
          </w:p>
        </w:tc>
        <w:tc>
          <w:tcPr/>
          <w:p>
            <w:pPr>
              <w:pStyle w:val="Compact"/>
            </w:pPr>
            <w:r>
              <w:t xml:space="preserve">Inventory export</w:t>
            </w:r>
          </w:p>
        </w:tc>
        <w:tc>
          <w:tcPr/>
          <w:p>
            <w:pPr>
              <w:pStyle w:val="Compact"/>
            </w:pPr>
            <w:r>
              <w:t xml:space="preserve">CM-8</w:t>
            </w:r>
          </w:p>
        </w:tc>
      </w:tr>
      <w:tr>
        <w:tc>
          <w:tcPr/>
          <w:p>
            <w:pPr>
              <w:pStyle w:val="Compact"/>
            </w:pPr>
            <w:r>
              <w:t xml:space="preserve">Cisco SD-WAN</w:t>
            </w:r>
          </w:p>
        </w:tc>
        <w:tc>
          <w:tcPr/>
          <w:p>
            <w:pPr>
              <w:pStyle w:val="Compact"/>
            </w:pPr>
            <w:r>
              <w:t xml:space="preserve">Device posture → network access</w:t>
            </w:r>
          </w:p>
        </w:tc>
        <w:tc>
          <w:tcPr/>
          <w:p>
            <w:pPr>
              <w:pStyle w:val="Compact"/>
            </w:pPr>
            <w:r>
              <w:t xml:space="preserve">AC-4</w:t>
            </w:r>
          </w:p>
        </w:tc>
      </w:tr>
    </w:tbl>
    <w:p>
      <w:r>
        <w:pict>
          <v:rect style="width:0;height:1.5pt" o:hralign="center" o:hrstd="t" o:hr="t"/>
        </w:pict>
      </w:r>
    </w:p>
    <w:bookmarkEnd w:id="35"/>
    <w:bookmarkEnd w:id="36"/>
    <w:bookmarkEnd w:id="37"/>
    <w:bookmarkStart w:id="41" w:name="runtime-model"/>
    <w:p>
      <w:pPr>
        <w:pStyle w:val="Heading2"/>
      </w:pPr>
      <w:r>
        <w:t xml:space="preserve">1.6 7. Runtime Model</w:t>
      </w:r>
    </w:p>
    <w:p>
      <w:pPr>
        <w:pStyle w:val="FirstParagraph"/>
      </w:pPr>
      <w:r>
        <w:t xml:space="preserve">The Management Plane enforces continuous authorization across all UIAO conversations.</w:t>
      </w:r>
    </w:p>
    <w:bookmarkStart w:id="38" w:name="continuous-evaluation"/>
    <w:p>
      <w:pPr>
        <w:pStyle w:val="Heading3"/>
      </w:pPr>
      <w:r>
        <w:t xml:space="preserve">1.6.1 7.1 Continuous Evaluation</w:t>
      </w:r>
    </w:p>
    <w:p>
      <w:pPr>
        <w:pStyle w:val="Compact"/>
        <w:numPr>
          <w:ilvl w:val="0"/>
          <w:numId w:val="1007"/>
        </w:numPr>
      </w:pPr>
      <w:r>
        <w:t xml:space="preserve">Device posture</w:t>
      </w:r>
    </w:p>
    <w:p>
      <w:pPr>
        <w:pStyle w:val="Compact"/>
        <w:numPr>
          <w:ilvl w:val="0"/>
          <w:numId w:val="1007"/>
        </w:numPr>
      </w:pPr>
      <w:r>
        <w:t xml:space="preserve">Certificate validity</w:t>
      </w:r>
    </w:p>
    <w:p>
      <w:pPr>
        <w:pStyle w:val="Compact"/>
        <w:numPr>
          <w:ilvl w:val="0"/>
          <w:numId w:val="1007"/>
        </w:numPr>
      </w:pPr>
      <w:r>
        <w:t xml:space="preserve">Configuration baseline</w:t>
      </w:r>
    </w:p>
    <w:p>
      <w:pPr>
        <w:pStyle w:val="Compact"/>
        <w:numPr>
          <w:ilvl w:val="0"/>
          <w:numId w:val="1007"/>
        </w:numPr>
      </w:pPr>
      <w:r>
        <w:t xml:space="preserve">Identity assurance</w:t>
      </w:r>
    </w:p>
    <w:p>
      <w:pPr>
        <w:pStyle w:val="Compact"/>
        <w:numPr>
          <w:ilvl w:val="0"/>
          <w:numId w:val="1007"/>
        </w:numPr>
      </w:pPr>
      <w:r>
        <w:t xml:space="preserve">Overlay integrity</w:t>
      </w:r>
    </w:p>
    <w:bookmarkEnd w:id="38"/>
    <w:bookmarkStart w:id="39" w:name="drift-detection"/>
    <w:p>
      <w:pPr>
        <w:pStyle w:val="Heading3"/>
      </w:pPr>
      <w:r>
        <w:t xml:space="preserve">1.6.2 7.2 Drift Detection</w:t>
      </w:r>
    </w:p>
    <w:p>
      <w:pPr>
        <w:pStyle w:val="FirstParagraph"/>
      </w:pPr>
      <w:r>
        <w:t xml:space="preserve">Drift is detected when:</w:t>
      </w:r>
    </w:p>
    <w:p>
      <w:pPr>
        <w:pStyle w:val="Compact"/>
        <w:numPr>
          <w:ilvl w:val="0"/>
          <w:numId w:val="1008"/>
        </w:numPr>
      </w:pPr>
      <w:r>
        <w:t xml:space="preserve">A device falls out of compliance</w:t>
      </w:r>
    </w:p>
    <w:p>
      <w:pPr>
        <w:pStyle w:val="Compact"/>
        <w:numPr>
          <w:ilvl w:val="0"/>
          <w:numId w:val="1008"/>
        </w:numPr>
      </w:pPr>
      <w:r>
        <w:t xml:space="preserve">A configuration baseline changes</w:t>
      </w:r>
    </w:p>
    <w:p>
      <w:pPr>
        <w:pStyle w:val="Compact"/>
        <w:numPr>
          <w:ilvl w:val="0"/>
          <w:numId w:val="1008"/>
        </w:numPr>
      </w:pPr>
      <w:r>
        <w:t xml:space="preserve">An overlay tunnel deviates from the approved baseline</w:t>
      </w:r>
    </w:p>
    <w:p>
      <w:pPr>
        <w:pStyle w:val="Compact"/>
        <w:numPr>
          <w:ilvl w:val="0"/>
          <w:numId w:val="1008"/>
        </w:numPr>
      </w:pPr>
      <w:r>
        <w:t xml:space="preserve">IPAM records diverge from CMDB</w:t>
      </w:r>
    </w:p>
    <w:p>
      <w:pPr>
        <w:pStyle w:val="Compact"/>
        <w:numPr>
          <w:ilvl w:val="0"/>
          <w:numId w:val="1008"/>
        </w:numPr>
      </w:pPr>
      <w:r>
        <w:t xml:space="preserve">Certificates expire or mismatch</w:t>
      </w:r>
    </w:p>
    <w:bookmarkEnd w:id="39"/>
    <w:bookmarkStart w:id="40" w:name="automated-remediation"/>
    <w:p>
      <w:pPr>
        <w:pStyle w:val="Heading3"/>
      </w:pPr>
      <w:r>
        <w:t xml:space="preserve">1.6.3 7.3 Automated Remediation</w:t>
      </w:r>
    </w:p>
    <w:p>
      <w:pPr>
        <w:pStyle w:val="FirstParagraph"/>
      </w:pPr>
      <w:r>
        <w:t xml:space="preserve">Triggered via:</w:t>
      </w:r>
    </w:p>
    <w:p>
      <w:pPr>
        <w:pStyle w:val="Compact"/>
        <w:numPr>
          <w:ilvl w:val="0"/>
          <w:numId w:val="1009"/>
        </w:numPr>
      </w:pPr>
      <w:r>
        <w:t xml:space="preserve">ServiceNow change workflows</w:t>
      </w:r>
    </w:p>
    <w:p>
      <w:pPr>
        <w:pStyle w:val="Compact"/>
        <w:numPr>
          <w:ilvl w:val="0"/>
          <w:numId w:val="1009"/>
        </w:numPr>
      </w:pPr>
      <w:r>
        <w:t xml:space="preserve">Intune compliance enforcement</w:t>
      </w:r>
    </w:p>
    <w:p>
      <w:pPr>
        <w:pStyle w:val="Compact"/>
        <w:numPr>
          <w:ilvl w:val="0"/>
          <w:numId w:val="1009"/>
        </w:numPr>
      </w:pPr>
      <w:r>
        <w:t xml:space="preserve">Conditional Access policies</w:t>
      </w:r>
    </w:p>
    <w:p>
      <w:pPr>
        <w:pStyle w:val="Compact"/>
        <w:numPr>
          <w:ilvl w:val="0"/>
          <w:numId w:val="1009"/>
        </w:numPr>
      </w:pPr>
      <w:r>
        <w:t xml:space="preserve">Certificate renewal pipelines</w:t>
      </w:r>
    </w:p>
    <w:p>
      <w:pPr>
        <w:pStyle w:val="Compact"/>
        <w:numPr>
          <w:ilvl w:val="0"/>
          <w:numId w:val="1009"/>
        </w:numPr>
      </w:pPr>
      <w:r>
        <w:t xml:space="preserve">IPAM reconciliation</w:t>
      </w:r>
    </w:p>
    <w:p>
      <w:r>
        <w:pict>
          <v:rect style="width:0;height:1.5pt" o:hralign="center" o:hrstd="t" o:hr="t"/>
        </w:pict>
      </w:r>
    </w:p>
    <w:bookmarkEnd w:id="40"/>
    <w:bookmarkEnd w:id="41"/>
    <w:bookmarkStart w:id="42" w:name="compliance-mapping"/>
    <w:p>
      <w:pPr>
        <w:pStyle w:val="Heading2"/>
      </w:pPr>
      <w:r>
        <w:t xml:space="preserve">1.7 8. Compliance Mapping</w:t>
      </w:r>
    </w:p>
    <w:p>
      <w:pPr>
        <w:pStyle w:val="FirstParagraph"/>
      </w:pPr>
      <w:r>
        <w:t xml:space="preserve">The Management Plane provides evidence for:</w:t>
      </w:r>
    </w:p>
    <w:p>
      <w:pPr>
        <w:pStyle w:val="Compact"/>
        <w:numPr>
          <w:ilvl w:val="0"/>
          <w:numId w:val="1010"/>
        </w:numPr>
      </w:pPr>
      <w:r>
        <w:t xml:space="preserve">CM-2, CM-3, CM-6, CM-7, CM-8</w:t>
      </w:r>
    </w:p>
    <w:p>
      <w:pPr>
        <w:pStyle w:val="Compact"/>
        <w:numPr>
          <w:ilvl w:val="0"/>
          <w:numId w:val="1010"/>
        </w:numPr>
      </w:pPr>
      <w:r>
        <w:t xml:space="preserve">IR-4, IR-5, IR-6, IR-8</w:t>
      </w:r>
    </w:p>
    <w:p>
      <w:pPr>
        <w:pStyle w:val="Compact"/>
        <w:numPr>
          <w:ilvl w:val="0"/>
          <w:numId w:val="1010"/>
        </w:numPr>
      </w:pPr>
      <w:r>
        <w:t xml:space="preserve">AC-19</w:t>
      </w:r>
    </w:p>
    <w:p>
      <w:pPr>
        <w:pStyle w:val="Compact"/>
        <w:numPr>
          <w:ilvl w:val="0"/>
          <w:numId w:val="1010"/>
        </w:numPr>
      </w:pPr>
      <w:r>
        <w:t xml:space="preserve">IA-3</w:t>
      </w:r>
    </w:p>
    <w:p>
      <w:pPr>
        <w:pStyle w:val="Compact"/>
        <w:numPr>
          <w:ilvl w:val="0"/>
          <w:numId w:val="1010"/>
        </w:numPr>
      </w:pPr>
      <w:r>
        <w:t xml:space="preserve">CA-7</w:t>
      </w:r>
    </w:p>
    <w:p>
      <w:pPr>
        <w:pStyle w:val="Compact"/>
        <w:numPr>
          <w:ilvl w:val="0"/>
          <w:numId w:val="1010"/>
        </w:numPr>
      </w:pPr>
      <w:r>
        <w:t xml:space="preserve">SC-28</w:t>
      </w:r>
    </w:p>
    <w:p>
      <w:pPr>
        <w:pStyle w:val="FirstParagraph"/>
      </w:pPr>
      <w:r>
        <w:t xml:space="preserve">It also generates KSIs:</w:t>
      </w:r>
    </w:p>
    <w:p>
      <w:pPr>
        <w:pStyle w:val="Compact"/>
        <w:numPr>
          <w:ilvl w:val="0"/>
          <w:numId w:val="1011"/>
        </w:numPr>
      </w:pPr>
      <w:r>
        <w:t xml:space="preserve">KSI-CMT (baseline drift)</w:t>
      </w:r>
    </w:p>
    <w:p>
      <w:pPr>
        <w:pStyle w:val="Compact"/>
        <w:numPr>
          <w:ilvl w:val="0"/>
          <w:numId w:val="1011"/>
        </w:numPr>
      </w:pPr>
      <w:r>
        <w:t xml:space="preserve">KSI-PIY (inventory)</w:t>
      </w:r>
    </w:p>
    <w:p>
      <w:pPr>
        <w:pStyle w:val="Compact"/>
        <w:numPr>
          <w:ilvl w:val="0"/>
          <w:numId w:val="1011"/>
        </w:numPr>
      </w:pPr>
      <w:r>
        <w:t xml:space="preserve">KSI-IAM (identity/device trust)</w:t>
      </w:r>
    </w:p>
    <w:p>
      <w:pPr>
        <w:pStyle w:val="Compact"/>
        <w:numPr>
          <w:ilvl w:val="0"/>
          <w:numId w:val="1011"/>
        </w:numPr>
      </w:pPr>
      <w:r>
        <w:t xml:space="preserve">KSI-MLA (telemetry)</w:t>
      </w:r>
    </w:p>
    <w:p>
      <w:r>
        <w:pict>
          <v:rect style="width:0;height:1.5pt" o:hralign="center" o:hrstd="t" o:hr="t"/>
        </w:pict>
      </w:r>
    </w:p>
    <w:bookmarkEnd w:id="42"/>
    <w:bookmarkStart w:id="46" w:name="dependencies-sequencing"/>
    <w:p>
      <w:pPr>
        <w:pStyle w:val="Heading2"/>
      </w:pPr>
      <w:r>
        <w:t xml:space="preserve">1.8 9. Dependencies &amp; Sequencing</w:t>
      </w:r>
    </w:p>
    <w:bookmarkStart w:id="43" w:name="upstream"/>
    <w:p>
      <w:pPr>
        <w:pStyle w:val="Heading3"/>
      </w:pPr>
      <w:r>
        <w:t xml:space="preserve">1.8.1 Upstream</w:t>
      </w:r>
    </w:p>
    <w:p>
      <w:pPr>
        <w:pStyle w:val="Compact"/>
        <w:numPr>
          <w:ilvl w:val="0"/>
          <w:numId w:val="1012"/>
        </w:numPr>
      </w:pPr>
      <w:r>
        <w:t xml:space="preserve">Identity modernization</w:t>
      </w:r>
    </w:p>
    <w:p>
      <w:pPr>
        <w:pStyle w:val="Compact"/>
        <w:numPr>
          <w:ilvl w:val="0"/>
          <w:numId w:val="1012"/>
        </w:numPr>
      </w:pPr>
      <w:r>
        <w:t xml:space="preserve">IPAM modernization</w:t>
      </w:r>
    </w:p>
    <w:p>
      <w:pPr>
        <w:pStyle w:val="Compact"/>
        <w:numPr>
          <w:ilvl w:val="0"/>
          <w:numId w:val="1012"/>
        </w:numPr>
      </w:pPr>
      <w:r>
        <w:t xml:space="preserve">SD-WAN overlay deployment</w:t>
      </w:r>
    </w:p>
    <w:bookmarkEnd w:id="43"/>
    <w:bookmarkStart w:id="44" w:name="downstream"/>
    <w:p>
      <w:pPr>
        <w:pStyle w:val="Heading3"/>
      </w:pPr>
      <w:r>
        <w:t xml:space="preserve">1.8.2 Downstream</w:t>
      </w:r>
    </w:p>
    <w:p>
      <w:pPr>
        <w:pStyle w:val="Compact"/>
        <w:numPr>
          <w:ilvl w:val="0"/>
          <w:numId w:val="1013"/>
        </w:numPr>
      </w:pPr>
      <w:r>
        <w:t xml:space="preserve">TIC 3.0 Cloud &amp; Branch packages</w:t>
      </w:r>
    </w:p>
    <w:p>
      <w:pPr>
        <w:pStyle w:val="Compact"/>
        <w:numPr>
          <w:ilvl w:val="0"/>
          <w:numId w:val="1013"/>
        </w:numPr>
      </w:pPr>
      <w:r>
        <w:t xml:space="preserve">FedRAMP 20x evidence generation</w:t>
      </w:r>
    </w:p>
    <w:p>
      <w:pPr>
        <w:pStyle w:val="Compact"/>
        <w:numPr>
          <w:ilvl w:val="0"/>
          <w:numId w:val="1013"/>
        </w:numPr>
      </w:pPr>
      <w:r>
        <w:t xml:space="preserve">CDM/CLAW integration</w:t>
      </w:r>
    </w:p>
    <w:bookmarkEnd w:id="44"/>
    <w:bookmarkStart w:id="45" w:name="timeline-alignment"/>
    <w:p>
      <w:pPr>
        <w:pStyle w:val="Heading3"/>
      </w:pPr>
      <w:r>
        <w:t xml:space="preserve">1.8.3 Timeline Alignment</w:t>
      </w:r>
    </w:p>
    <w:p>
      <w:pPr>
        <w:pStyle w:val="FirstParagraph"/>
      </w:pPr>
      <w:r>
        <w:t xml:space="preserve">This document aligns with Months 2-6 of the modernization timeline.</w:t>
      </w:r>
    </w:p>
    <w:p>
      <w:r>
        <w:pict>
          <v:rect style="width:0;height:1.5pt" o:hralign="center" o:hrstd="t" o:hr="t"/>
        </w:pict>
      </w:r>
    </w:p>
    <w:bookmarkEnd w:id="45"/>
    <w:bookmarkEnd w:id="46"/>
    <w:bookmarkStart w:id="51" w:name="governance-drift-controls"/>
    <w:p>
      <w:pPr>
        <w:pStyle w:val="Heading2"/>
      </w:pPr>
      <w:r>
        <w:t xml:space="preserve">1.9 10. Governance &amp; Drift Controls</w:t>
      </w:r>
    </w:p>
    <w:bookmarkStart w:id="47" w:name="source-of-authority"/>
    <w:p>
      <w:pPr>
        <w:pStyle w:val="Heading3"/>
      </w:pPr>
      <w:r>
        <w:t xml:space="preserve">1.9.1 Source of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Authority</w:t>
            </w:r>
          </w:p>
        </w:tc>
      </w:tr>
      <w:tr>
        <w:tc>
          <w:tcPr/>
          <w:p>
            <w:pPr>
              <w:pStyle w:val="Compact"/>
            </w:pPr>
            <w:r>
              <w:t xml:space="preserve">Identity lifecycle</w:t>
            </w:r>
          </w:p>
        </w:tc>
        <w:tc>
          <w:tcPr/>
          <w:p>
            <w:pPr>
              <w:pStyle w:val="Compact"/>
            </w:pPr>
            <w:r>
              <w:t xml:space="preserve">HR</w:t>
            </w:r>
          </w:p>
        </w:tc>
      </w:tr>
      <w:tr>
        <w:tc>
          <w:tcPr/>
          <w:p>
            <w:pPr>
              <w:pStyle w:val="Compact"/>
            </w:pPr>
            <w:r>
              <w:t xml:space="preserve">Addressing</w:t>
            </w:r>
          </w:p>
        </w:tc>
        <w:tc>
          <w:tcPr/>
          <w:p>
            <w:pPr>
              <w:pStyle w:val="Compact"/>
            </w:pPr>
            <w:r>
              <w:t xml:space="preserve">Network architecture</w:t>
            </w:r>
          </w:p>
        </w:tc>
      </w:tr>
      <w:tr>
        <w:tc>
          <w:tcPr/>
          <w:p>
            <w:pPr>
              <w:pStyle w:val="Compact"/>
            </w:pPr>
            <w:r>
              <w:t xml:space="preserve">Certificate trust</w:t>
            </w:r>
          </w:p>
        </w:tc>
        <w:tc>
          <w:tcPr/>
          <w:p>
            <w:pPr>
              <w:pStyle w:val="Compact"/>
            </w:pPr>
            <w:r>
              <w:t xml:space="preserve">PKI</w:t>
            </w:r>
          </w:p>
        </w:tc>
      </w:tr>
      <w:tr>
        <w:tc>
          <w:tcPr/>
          <w:p>
            <w:pPr>
              <w:pStyle w:val="Compact"/>
            </w:pPr>
            <w:r>
              <w:t xml:space="preserve">Configuration baselines</w:t>
            </w:r>
          </w:p>
        </w:tc>
        <w:tc>
          <w:tcPr/>
          <w:p>
            <w:pPr>
              <w:pStyle w:val="Compact"/>
            </w:pPr>
            <w:r>
              <w:t xml:space="preserve">System owners</w:t>
            </w:r>
          </w:p>
        </w:tc>
      </w:tr>
    </w:tbl>
    <w:bookmarkEnd w:id="47"/>
    <w:bookmarkStart w:id="48" w:name="drift-detection-1"/>
    <w:p>
      <w:pPr>
        <w:pStyle w:val="Heading3"/>
      </w:pPr>
      <w:r>
        <w:t xml:space="preserve">1.9.2 Drift Detection</w:t>
      </w:r>
    </w:p>
    <w:p>
      <w:pPr>
        <w:pStyle w:val="Compact"/>
        <w:numPr>
          <w:ilvl w:val="0"/>
          <w:numId w:val="1014"/>
        </w:numPr>
      </w:pPr>
      <w:r>
        <w:t xml:space="preserve">CMDB reconciliation</w:t>
      </w:r>
    </w:p>
    <w:p>
      <w:pPr>
        <w:pStyle w:val="Compact"/>
        <w:numPr>
          <w:ilvl w:val="0"/>
          <w:numId w:val="1014"/>
        </w:numPr>
      </w:pPr>
      <w:r>
        <w:t xml:space="preserve">Intune compliance</w:t>
      </w:r>
    </w:p>
    <w:p>
      <w:pPr>
        <w:pStyle w:val="Compact"/>
        <w:numPr>
          <w:ilvl w:val="0"/>
          <w:numId w:val="1014"/>
        </w:numPr>
      </w:pPr>
      <w:r>
        <w:t xml:space="preserve">SD-WAN overlay validation</w:t>
      </w:r>
    </w:p>
    <w:p>
      <w:pPr>
        <w:pStyle w:val="Compact"/>
        <w:numPr>
          <w:ilvl w:val="0"/>
          <w:numId w:val="1014"/>
        </w:numPr>
      </w:pPr>
      <w:r>
        <w:t xml:space="preserve">IPAM reconciliation</w:t>
      </w:r>
    </w:p>
    <w:bookmarkEnd w:id="48"/>
    <w:bookmarkStart w:id="49" w:name="remediation-workflow"/>
    <w:p>
      <w:pPr>
        <w:pStyle w:val="Heading3"/>
      </w:pPr>
      <w:r>
        <w:t xml:space="preserve">1.9.3 Remediation Workflow</w:t>
      </w:r>
    </w:p>
    <w:p>
      <w:pPr>
        <w:pStyle w:val="Compact"/>
        <w:numPr>
          <w:ilvl w:val="0"/>
          <w:numId w:val="1015"/>
        </w:numPr>
      </w:pPr>
      <w:r>
        <w:t xml:space="preserve">Automated ServiceNow change</w:t>
      </w:r>
    </w:p>
    <w:p>
      <w:pPr>
        <w:pStyle w:val="Compact"/>
        <w:numPr>
          <w:ilvl w:val="0"/>
          <w:numId w:val="1015"/>
        </w:numPr>
      </w:pPr>
      <w:r>
        <w:t xml:space="preserve">Conditional Access enforcement</w:t>
      </w:r>
    </w:p>
    <w:p>
      <w:pPr>
        <w:pStyle w:val="Compact"/>
        <w:numPr>
          <w:ilvl w:val="0"/>
          <w:numId w:val="1015"/>
        </w:numPr>
      </w:pPr>
      <w:r>
        <w:t xml:space="preserve">Certificate renewal</w:t>
      </w:r>
    </w:p>
    <w:p>
      <w:pPr>
        <w:pStyle w:val="Compact"/>
        <w:numPr>
          <w:ilvl w:val="0"/>
          <w:numId w:val="1015"/>
        </w:numPr>
      </w:pPr>
      <w:r>
        <w:t xml:space="preserve">IPAM correction</w:t>
      </w:r>
    </w:p>
    <w:bookmarkEnd w:id="49"/>
    <w:bookmarkStart w:id="50" w:name="audit-anchors"/>
    <w:p>
      <w:pPr>
        <w:pStyle w:val="Heading3"/>
      </w:pPr>
      <w:r>
        <w:t xml:space="preserve">1.9.4 Audit Anchors</w:t>
      </w:r>
    </w:p>
    <w:p>
      <w:pPr>
        <w:pStyle w:val="Compact"/>
        <w:numPr>
          <w:ilvl w:val="0"/>
          <w:numId w:val="1016"/>
        </w:numPr>
      </w:pPr>
      <w:r>
        <w:t xml:space="preserve">Entra ID logs</w:t>
      </w:r>
    </w:p>
    <w:p>
      <w:pPr>
        <w:pStyle w:val="Compact"/>
        <w:numPr>
          <w:ilvl w:val="0"/>
          <w:numId w:val="1016"/>
        </w:numPr>
      </w:pPr>
      <w:r>
        <w:t xml:space="preserve">Infoblox API records</w:t>
      </w:r>
    </w:p>
    <w:p>
      <w:pPr>
        <w:pStyle w:val="Compact"/>
        <w:numPr>
          <w:ilvl w:val="0"/>
          <w:numId w:val="1016"/>
        </w:numPr>
      </w:pPr>
      <w:r>
        <w:t xml:space="preserve">SD-WAN telemetry</w:t>
      </w:r>
    </w:p>
    <w:p>
      <w:pPr>
        <w:pStyle w:val="Compact"/>
        <w:numPr>
          <w:ilvl w:val="0"/>
          <w:numId w:val="1016"/>
        </w:numPr>
      </w:pPr>
      <w:r>
        <w:t xml:space="preserve">Intune compliance reports</w:t>
      </w:r>
    </w:p>
    <w:p>
      <w:pPr>
        <w:pStyle w:val="Compact"/>
        <w:numPr>
          <w:ilvl w:val="0"/>
          <w:numId w:val="1016"/>
        </w:numPr>
      </w:pPr>
      <w:r>
        <w:t xml:space="preserve">ServiceNow audit trails</w:t>
      </w:r>
    </w:p>
    <w:p>
      <w:r>
        <w:pict>
          <v:rect style="width:0;height:1.5pt" o:hralign="center" o:hrstd="t" o:hr="t"/>
        </w:pict>
      </w:r>
    </w:p>
    <w:bookmarkEnd w:id="50"/>
    <w:bookmarkEnd w:id="51"/>
    <w:bookmarkStart w:id="56" w:name="appendices"/>
    <w:p>
      <w:pPr>
        <w:pStyle w:val="Heading2"/>
      </w:pPr>
      <w:r>
        <w:t xml:space="preserve">1.10 11. Appendices</w:t>
      </w:r>
    </w:p>
    <w:bookmarkStart w:id="52" w:name="appendix-a-definitions"/>
    <w:p>
      <w:pPr>
        <w:pStyle w:val="Heading3"/>
      </w:pPr>
      <w:r>
        <w:t xml:space="preserve">1.10.1 Appendix A: Definitions</w:t>
      </w:r>
    </w:p>
    <w:p>
      <w:pPr>
        <w:pStyle w:val="FirstParagraph"/>
      </w:pPr>
      <w:r>
        <w:rPr>
          <w:i/>
          <w:iCs/>
        </w:rPr>
        <w:t xml:space="preserve">See</w:t>
      </w:r>
      <w:r>
        <w:rPr>
          <w:i/>
          <w:iCs/>
        </w:rPr>
        <w:t xml:space="preserve"> </w:t>
      </w:r>
      <w:r>
        <w:rPr>
          <w:rStyle w:val="VerbatimChar"/>
          <w:i/>
          <w:iCs/>
        </w:rPr>
        <w:t xml:space="preserve">docs/glossary.md</w:t>
      </w:r>
    </w:p>
    <w:bookmarkEnd w:id="52"/>
    <w:bookmarkStart w:id="53" w:name="appendix-b-tables"/>
    <w:p>
      <w:pPr>
        <w:pStyle w:val="Heading3"/>
      </w:pPr>
      <w:r>
        <w:t xml:space="preserve">1.10.2 Appendix B: Tables</w:t>
      </w:r>
    </w:p>
    <w:p>
      <w:pPr>
        <w:pStyle w:val="FirstParagraph"/>
      </w:pPr>
      <w:r>
        <w:rPr>
          <w:i/>
          <w:iCs/>
        </w:rPr>
        <w:t xml:space="preserve">ServiceNow NIST mappings are in Section 6.2. Intune NIST mappings are in Section 6.3. Integration bindings are in Sections 6.2 and 6.3.</w:t>
      </w:r>
    </w:p>
    <w:bookmarkEnd w:id="53"/>
    <w:bookmarkStart w:id="54" w:name="appendix-c-evidence-sources"/>
    <w:p>
      <w:pPr>
        <w:pStyle w:val="Heading3"/>
      </w:pPr>
      <w:r>
        <w:t xml:space="preserve">1.10.3 Appendix C: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bookmarkEnd w:id="54"/>
    <w:bookmarkStart w:id="55" w:name="appendix-d-integration-maps"/>
    <w:p>
      <w:pPr>
        <w:pStyle w:val="Heading3"/>
      </w:pPr>
      <w:r>
        <w:t xml:space="preserve">1.10.4 Appendix D: Integration Maps</w:t>
      </w:r>
    </w:p>
    <w:p>
      <w:pPr>
        <w:pStyle w:val="FirstParagraph"/>
      </w:pPr>
      <w:r>
        <w:rPr>
          <w:i/>
          <w:iCs/>
        </w:rPr>
        <w:t xml:space="preserve">ServiceNow and Intune integration bindings are defined in Sections 6.2 and 6.3.</w:t>
      </w:r>
    </w:p>
    <w:p>
      <w:r>
        <w:pict>
          <v:rect style="width:0;height:1.5pt" o:hralign="center" o:hrstd="t" o:hr="t"/>
        </w:pict>
      </w:r>
    </w:p>
    <w:bookmarkEnd w:id="55"/>
    <w:bookmarkEnd w:id="56"/>
    <w:bookmarkStart w:id="57" w:name="revision-history"/>
    <w:p>
      <w:pPr>
        <w:pStyle w:val="Heading2"/>
      </w:pPr>
      <w:r>
        <w:t xml:space="preserve">1.11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Managementstack</dc:title>
  <dc:creator>UIAO Modernization Program</dc:creator>
  <dc:language>en</dc:language>
  <cp:keywords/>
  <dcterms:created xsi:type="dcterms:W3CDTF">2026-03-31T16:54:43Z</dcterms:created>
  <dcterms:modified xsi:type="dcterms:W3CDTF">2026-03-31T16:54:43Z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March 31,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