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9.png" ContentType="image/png"/>
  <Override PartName="/word/media/rId13.png" ContentType="image/png"/>
  <Override PartName="/word/media/rId73.png" ContentType="image/png"/>
  <Override PartName="/word/media/rId87.png" ContentType="image/png"/>
  <Override PartName="/word/media/rId19.png" ContentType="image/png"/>
  <Override PartName="/word/media/rId28.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14:45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KSI rules in the series’ ADR-111 rule set evaluable at high confidence.</w:t>
      </w:r>
    </w:p>
    <w:p>
      <w:pPr>
        <w:pStyle w:val="BodyText"/>
      </w:pPr>
      <w:r>
        <w:rPr>
          <w:b/>
          <w:bCs/>
        </w:rPr>
        <w:t xml:space="preserve">Book 19 — Authorization Package and ConMon</w:t>
      </w:r>
      <w:r>
        <w:t xml:space="preserve"> </w:t>
      </w:r>
      <w:r>
        <w:t xml:space="preserve">— OSCAL AP+AR+POA&amp;M bundle (29/29 rules self-assessed, pending independent security control assessment (SCA)),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authorization-package layer for the agency’s RMF authorization, with continuous-monitoring evidence structured in the FedRAMP 20x KSI idiom.</w:t>
      </w:r>
      <w:r>
        <w:t xml:space="preserve"> </w:t>
      </w:r>
      <w:r>
        <w:t xml:space="preserve">Each book maps its implementations directly to the NIST SP 800-53 Rev 5 controls it closes, and Book 19 assembles those mappings into a machine-readable OSCAL authorization package ready for independent SCA. The FedRAMP cloud services SSA consumes (M365 GCC, AWS GovCloud, DDI SaaS) are inherited as leveraged authorizations; SSA itself does not submit to the FedRAMP PMO.</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KSI rules in the series’ ADR-111 rule set.</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an agency Moderate authorization whose evidence survives the FedRAMP 20x transition. CR26 is mandatory for the cloud service offerings SSA inherits effective January 1, 2027; SSA’s obligation is to ensure inherited services are on the 20x path and to structure its own ConMon evidence on the same KSI schema so inheritance stays clean.</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Agency RMF authorization package (ConMon evidence modeled on the FedRAMP 20x KSI schema)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Class C (Moderate) CSO certifications open — the pipeline SSA’s inherited providers enter</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31"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independent assessor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Mechanism, Not Product — Read the Necessity Claims Correctly</w:t>
            </w:r>
          </w:p>
        </w:tc>
      </w:tr>
      <w:tr>
        <w:trPr>
          <w:cantSplit/>
        </w:trPr>
        <w:tc>
          <w:tcPr>
            <w:tcMar>
              <w:top w:w="108" w:type="dxa"/>
              <w:bottom w:w="108" w:type="dxa"/>
            </w:tcMar>
          </w:tcPr>
          <w:p>
            <w:pPr>
              <w:pStyle w:val="BodyText"/>
            </w:pPr>
            <w:pPr>
              <w:spacing w:before="16"/>
            </w:pPr>
            <w:r>
              <w:t xml:space="preserve">“No alternate closure path”</w:t>
            </w:r>
            <w:r>
              <w:t xml:space="preserve"> </w:t>
            </w:r>
            <w:r>
              <w:t xml:space="preserve">is a claim about</w:t>
            </w:r>
            <w:r>
              <w:t xml:space="preserve"> </w:t>
            </w:r>
            <w:r>
              <w:rPr>
                <w:b/>
                <w:bCs/>
              </w:rPr>
              <w:t xml:space="preserve">mechanism classes</w:t>
            </w:r>
            <w:r>
              <w:t xml:space="preserve">, never</w:t>
            </w:r>
            <w:r>
              <w:t xml:space="preserve"> </w:t>
            </w:r>
            <w:r>
              <w:t xml:space="preserve">about vendors.</w:t>
            </w:r>
            <w:r>
              <w:t xml:space="preserve"> </w:t>
            </w:r>
            <w:r>
              <w:t xml:space="preserve">“Only port-based authentication closes IA-3”</w:t>
            </w:r>
            <w:r>
              <w:t xml:space="preserve"> </w:t>
            </w:r>
            <w:r>
              <w:t xml:space="preserve">names a protocol</w:t>
            </w:r>
            <w:r>
              <w:t xml:space="preserve"> </w:t>
            </w:r>
            <w:r>
              <w:t xml:space="preserve">behavior; it does not name a product. Every product named in this series</w:t>
            </w:r>
            <w:r>
              <w:t xml:space="preserve"> </w:t>
            </w:r>
            <w:r>
              <w:t xml:space="preserve">(InfoBlox, NPS, Cisco Catalyst SD-WAN, Entra ID, Oracle HCM Cloud, Sentinel)</w:t>
            </w:r>
            <w:r>
              <w:t xml:space="preserve"> </w:t>
            </w:r>
            <w:r>
              <w:t xml:space="preserve">is a</w:t>
            </w:r>
            <w:r>
              <w:t xml:space="preserve"> </w:t>
            </w:r>
            <w:r>
              <w:rPr>
                <w:b/>
                <w:bCs/>
              </w:rPr>
              <w:t xml:space="preserve">deployed example of its mechanism</w:t>
            </w:r>
            <w:r>
              <w:t xml:space="preserve">, and for every layer there are</w:t>
            </w:r>
            <w:r>
              <w:t xml:space="preserve"> </w:t>
            </w:r>
            <w:r>
              <w:t xml:space="preserve">FedRAMP-authorized alternatives that satisfy the same mechanism — the</w:t>
            </w:r>
            <w:r>
              <w:t xml:space="preserve"> </w:t>
            </w:r>
            <w:r>
              <w:t xml:space="preserve">alternatives matrix in the companion</w:t>
            </w:r>
            <w:r>
              <w:t xml:space="preserve"> </w:t>
            </w:r>
            <w:r>
              <w:rPr>
                <w:i/>
                <w:iCs/>
              </w:rPr>
              <w:t xml:space="preserve">Federal AAN / ConMon Compliance Gap</w:t>
            </w:r>
            <w:r>
              <w:rPr>
                <w:i/>
                <w:iCs/>
              </w:rPr>
              <w:t xml:space="preserve"> </w:t>
            </w:r>
            <w:r>
              <w:rPr>
                <w:i/>
                <w:iCs/>
              </w:rPr>
              <w:t xml:space="preserve">Roadmap</w:t>
            </w:r>
            <w:r>
              <w:t xml:space="preserve"> </w:t>
            </w:r>
            <w:r>
              <w:t xml:space="preserve">enumerates them per layer.</w:t>
            </w:r>
          </w:p>
          <w:p>
            <w:pPr>
              <w:pStyle w:val="BodyText"/>
            </w:pPr>
            <w:pPr>
              <w:spacing w:after="16"/>
            </w:pPr>
            <w:r>
              <w:t xml:space="preserve">The program doctrine that follows:</w:t>
            </w:r>
            <w:r>
              <w:t xml:space="preserve"> </w:t>
            </w:r>
            <w:r>
              <w:rPr>
                <w:b/>
                <w:bCs/>
              </w:rPr>
              <w:t xml:space="preserve">multiple compliant paths exist before</w:t>
            </w:r>
            <w:r>
              <w:rPr>
                <w:b/>
                <w:bCs/>
              </w:rPr>
              <w:t xml:space="preserve"> </w:t>
            </w:r>
            <w:r>
              <w:rPr>
                <w:b/>
                <w:bCs/>
              </w:rPr>
              <w:t xml:space="preserve">the agency chooses; exactly one exists after.</w:t>
            </w:r>
            <w:r>
              <w:t xml:space="preserve"> </w:t>
            </w:r>
            <w:r>
              <w:t xml:space="preserve">The agency must select one</w:t>
            </w:r>
            <w:r>
              <w:t xml:space="preserve"> </w:t>
            </w:r>
            <w:r>
              <w:t xml:space="preserve">implementation path per layer, and per governance the selected path becomes</w:t>
            </w:r>
            <w:r>
              <w:t xml:space="preserve"> </w:t>
            </w:r>
            <w:r>
              <w:t xml:space="preserve">mandatory once chosen — because split implementations of a truth plane</w:t>
            </w:r>
            <w:r>
              <w:t xml:space="preserve"> </w:t>
            </w:r>
            <w:r>
              <w:t xml:space="preserve">recreate the fragmented-truth problem this series exists to end.</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important.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9" name="Picture"/>
                  <a:graphic>
                    <a:graphicData uri="http://schemas.openxmlformats.org/drawingml/2006/picture">
                      <pic:pic>
                        <pic:nvPicPr>
                          <pic:cNvPr descr="figs/es-fig-06-dia-three-step.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31"/>
    <w:bookmarkStart w:id="32"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2"/>
    <w:bookmarkStart w:id="47"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3"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3"/>
    <w:bookmarkStart w:id="37"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5" name="Picture"/>
            <a:graphic>
              <a:graphicData uri="http://schemas.openxmlformats.org/drawingml/2006/picture">
                <pic:pic>
                  <pic:nvPicPr>
                    <pic:cNvPr descr="figs/es-fig-07-architecture-before-assessment.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7"/>
    <w:bookmarkStart w:id="41"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security control assessment (SCA).</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41"/>
    <w:bookmarkStart w:id="42"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2"/>
    <w:bookmarkStart w:id="46"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4" name="Picture"/>
            <a:graphic>
              <a:graphicData uri="http://schemas.openxmlformats.org/drawingml/2006/picture">
                <pic:pic>
                  <pic:nvPicPr>
                    <pic:cNvPr descr="figs/es-fig-08-coverage-arithmetic.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6"/>
    <w:bookmarkEnd w:id="47"/>
    <w:bookmarkStart w:id="48" w:name="the-ksi-closure-necessity-matrix"/>
    <w:p>
      <w:pPr>
        <w:pStyle w:val="Heading1"/>
      </w:pPr>
      <w:r>
        <w:t xml:space="preserve">5. The KSI Closure Necessity Matrix</w:t>
      </w:r>
    </w:p>
    <w:p>
      <w:pPr>
        <w:pStyle w:val="FirstParagraph"/>
      </w:pPr>
      <w:r>
        <w:t xml:space="preserve">The authoritative closure-necessity view for all 29 KSI rules in the series’</w:t>
      </w:r>
      <w:r>
        <w:t xml:space="preserve"> </w:t>
      </w:r>
      <w:r>
        <w:t xml:space="preserve">ADR-111 rule set. Each row states what closes the rule set, whether conformance</w:t>
      </w:r>
      <w:r>
        <w:t xml:space="preserve"> </w:t>
      </w:r>
      <w:r>
        <w:t xml:space="preserve">tooling alone can attest it, and which evidence slot and series part carry it.</w:t>
      </w:r>
      <w:r>
        <w:t xml:space="preserve"> </w:t>
      </w:r>
      <w:r>
        <w:t xml:space="preserve">Book 19 documents the evidence procedures; this matrix is the citable summary.</w:t>
      </w:r>
      <w:r>
        <w:t xml:space="preserve"> </w:t>
      </w:r>
      <w:r>
        <w:t xml:space="preserve">All verdicts are self-assessed pending independent security control assessment</w:t>
      </w:r>
      <w:r>
        <w:t xml:space="preserve"> </w:t>
      </w:r>
      <w:r>
        <w:t xml:space="preserve">(SCA).</w:t>
      </w:r>
    </w:p>
    <w:p>
      <w:pPr>
        <w:pStyle w:val="BlockText"/>
      </w:pPr>
      <w:r>
        <w:rPr>
          <w:b/>
          <w:bCs/>
        </w:rPr>
        <w:t xml:space="preserve">KSI-count reconciliation (open item).</w:t>
      </w:r>
      <w:r>
        <w:t xml:space="preserve"> </w:t>
      </w:r>
      <w:r>
        <w:t xml:space="preserve">The 29 rules in this matrix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Before any coverage claim is carried into an authorization decision,</w:t>
      </w:r>
      <w:r>
        <w:t xml:space="preserve"> </w:t>
      </w:r>
      <w:r>
        <w:t xml:space="preserve">the 29-rule set must be diffed rule-ID-by-rule-ID against the finalized CR26</w:t>
      </w:r>
      <w:r>
        <w:t xml:space="preserve"> </w:t>
      </w:r>
      <w:r>
        <w:t xml:space="preserve">Moderate list (June 25, 2026) and the mapping stated explicitly. Until that</w:t>
      </w:r>
      <w:r>
        <w:t xml:space="preserve"> </w:t>
      </w:r>
      <w:r>
        <w:t xml:space="preserve">reconciliation is documented,</w:t>
      </w:r>
      <w:r>
        <w:t xml:space="preserve"> </w:t>
      </w:r>
      <w:r>
        <w:t xml:space="preserve">“29/29 satisfied”</w:t>
      </w:r>
      <w:r>
        <w:t xml:space="preserve"> </w:t>
      </w:r>
      <w:r>
        <w:t xml:space="preserve">is a claim about the internal</w:t>
      </w:r>
      <w:r>
        <w:t xml:space="preserve"> </w:t>
      </w:r>
      <w:r>
        <w:t xml:space="preserve">rule set — not about the full CR26 indicator set.</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8"/>
    <w:bookmarkStart w:id="51"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51"/>
    <w:bookmarkStart w:id="54" w:name="X6f9a64b586cbcc7969c4f245976846e0504a959"/>
    <w:p>
      <w:pPr>
        <w:pStyle w:val="Heading1"/>
      </w:pPr>
      <w:r>
        <w:t xml:space="preserve">7. Part 1 — Landing Zone DDI: InfoBlox DDI Closes 16 NIST Controls</w:t>
      </w:r>
    </w:p>
    <w:bookmarkStart w:id="52"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2"/>
    <w:bookmarkStart w:id="53"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53"/>
    <w:bookmarkEnd w:id="54"/>
    <w:bookmarkStart w:id="56" w:name="Xbcc0181b0bedc83b159769420775f7f4bd5b5ee"/>
    <w:p>
      <w:pPr>
        <w:pStyle w:val="Heading1"/>
      </w:pPr>
      <w:r>
        <w:t xml:space="preserve">8. Part 2 — Network Access Control: 802.1X Closes the Device Identity Gap</w:t>
      </w:r>
    </w:p>
    <w:bookmarkStart w:id="55"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5"/>
    <w:bookmarkEnd w:id="56"/>
    <w:bookmarkStart w:id="58" w:name="X405ac1b7341efa237459fac366bded0a1afb81b"/>
    <w:p>
      <w:pPr>
        <w:pStyle w:val="Heading1"/>
      </w:pPr>
      <w:r>
        <w:t xml:space="preserve">9. Part 3 — Certificates &amp; Tokens: Cryptographic Identity</w:t>
      </w:r>
    </w:p>
    <w:bookmarkStart w:id="57"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7"/>
    <w:bookmarkEnd w:id="58"/>
    <w:bookmarkStart w:id="60" w:name="Xc99982daf1675290c6dee7e65da8f2f47fccda2"/>
    <w:p>
      <w:pPr>
        <w:pStyle w:val="Heading1"/>
      </w:pPr>
      <w:r>
        <w:t xml:space="preserve">10. Part 4 — OPM HRIT and the Identity &amp; Organizational SSOT</w:t>
      </w:r>
    </w:p>
    <w:bookmarkStart w:id="59"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9"/>
    <w:bookmarkEnd w:id="60"/>
    <w:bookmarkStart w:id="63" w:name="X10b5b70168cf61c697e46bca4109e68839cb391"/>
    <w:p>
      <w:pPr>
        <w:pStyle w:val="Heading1"/>
      </w:pPr>
      <w:r>
        <w:t xml:space="preserve">11. Part 5 — Network and Identity Modernization: Entra ID + ZTNA + Active Governance Closes 12 NIST Controls</w:t>
      </w:r>
    </w:p>
    <w:bookmarkStart w:id="61"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61"/>
    <w:bookmarkStart w:id="62"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2"/>
    <w:bookmarkEnd w:id="63"/>
    <w:bookmarkStart w:id="66" w:name="X2d88030fe1371762303048ee6244da6478ed0f7"/>
    <w:p>
      <w:pPr>
        <w:pStyle w:val="Heading1"/>
      </w:pPr>
      <w:r>
        <w:t xml:space="preserve">12. Part 6 — Telecommunications Modernization: SD-WAN + SASE Closes 7 NIST Controls</w:t>
      </w:r>
    </w:p>
    <w:bookmarkStart w:id="64"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4"/>
    <w:bookmarkStart w:id="65"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5"/>
    <w:bookmarkEnd w:id="66"/>
    <w:bookmarkStart w:id="70" w:name="Xd4e84a07e291e418566bcb97aa439fd3597f127"/>
    <w:p>
      <w:pPr>
        <w:pStyle w:val="Heading1"/>
      </w:pPr>
      <w:r>
        <w:t xml:space="preserve">13. Parts 7–9 — SQL Server and Database Architecture</w:t>
      </w:r>
    </w:p>
    <w:bookmarkStart w:id="67"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7"/>
    <w:bookmarkStart w:id="68"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8"/>
    <w:bookmarkStart w:id="69"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9"/>
    <w:bookmarkEnd w:id="70"/>
    <w:bookmarkStart w:id="72"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71"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71"/>
    <w:bookmarkEnd w:id="72"/>
    <w:bookmarkStart w:id="79"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4" name="Picture"/>
            <a:graphic>
              <a:graphicData uri="http://schemas.openxmlformats.org/drawingml/2006/picture">
                <pic:pic>
                  <pic:nvPicPr>
                    <pic:cNvPr descr="figs/es-fig-02-control-closure-chart.png" id="75" name="Picture"/>
                    <pic:cNvPicPr>
                      <a:picLocks noChangeArrowheads="1" noChangeAspect="1"/>
                    </pic:cNvPicPr>
                  </pic:nvPicPr>
                  <pic:blipFill>
                    <a:blip r:embed="rId73"/>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6"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6"/>
    <w:bookmarkStart w:id="77"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7"/>
    <w:bookmarkStart w:id="78"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8"/>
    <w:bookmarkEnd w:id="79"/>
    <w:bookmarkStart w:id="85"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80"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80"/>
    <w:bookmarkStart w:id="81"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81"/>
    <w:bookmarkStart w:id="82"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2"/>
    <w:bookmarkStart w:id="83"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3"/>
    <w:bookmarkStart w:id="84"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4"/>
    <w:bookmarkEnd w:id="85"/>
    <w:bookmarkStart w:id="86"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6"/>
    <w:bookmarkStart w:id="92"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8" name="Picture"/>
            <a:graphic>
              <a:graphicData uri="http://schemas.openxmlformats.org/drawingml/2006/picture">
                <pic:pic>
                  <pic:nvPicPr>
                    <pic:cNvPr descr="figs/es-fig-04-sequencing-roadmap.png" id="89" name="Picture"/>
                    <pic:cNvPicPr>
                      <a:picLocks noChangeArrowheads="1" noChangeAspect="1"/>
                    </pic:cNvPicPr>
                  </pic:nvPicPr>
                  <pic:blipFill>
                    <a:blip r:embed="rId8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on January 1, 2027 for the certified cloud service offerings SSA inherits. New Rev 5 certifications cease June 11, 2027. An agency whose inherited services transition to machine-readable KSI evidence while its own ConMon evidence stays manual will face inheritance friction at renewal — which is why this series structures agency evidence on the same KSI schema. All tracks must be in active implementation — not in planning — by Q4 2026.</w:t>
      </w:r>
    </w:p>
    <w:p>
      <w:r>
        <w:pict>
          <v:rect style="width:0;height:1.5pt" o:hralign="center" o:hrstd="t" o:hr="t"/>
        </w:pict>
      </w:r>
    </w:p>
    <w:bookmarkStart w:id="90" w:name="phased-delivery-roadmap"/>
    <w:p>
      <w:pPr>
        <w:pStyle w:val="Heading2"/>
      </w:pPr>
      <w:r>
        <w:t xml:space="preserve">18.1 Phased Delivery Roadmap</w:t>
      </w:r>
    </w:p>
    <w:p>
      <w:pPr>
        <w:pStyle w:val="FirstParagraph"/>
      </w:pPr>
      <w:r>
        <w:t xml:space="preserve">The roadmap tracks two things that must not be conflated:</w:t>
      </w:r>
      <w:r>
        <w:t xml:space="preserve"> </w:t>
      </w:r>
      <w:r>
        <w:rPr>
          <w:b/>
          <w:bCs/>
        </w:rPr>
        <w:t xml:space="preserve">authoring</w:t>
      </w:r>
      <w:r>
        <w:t xml:space="preserve"> </w:t>
      </w:r>
      <w:r>
        <w:t xml:space="preserve">(the</w:t>
      </w:r>
      <w:r>
        <w:t xml:space="preserve"> </w:t>
      </w:r>
      <w:r>
        <w:t xml:space="preserve">books, templates, and evidence pipeline — complete as of July 2026) and</w:t>
      </w:r>
      <w:r>
        <w:t xml:space="preserve"> </w:t>
      </w:r>
      <w:r>
        <w:rPr>
          <w:b/>
          <w:bCs/>
        </w:rPr>
        <w:t xml:space="preserve">implementation</w:t>
      </w:r>
      <w:r>
        <w:t xml:space="preserve"> </w:t>
      </w:r>
      <w:r>
        <w:t xml:space="preserve">(deployment against the estate — not started; draft pending</w:t>
      </w:r>
      <w:r>
        <w:t xml:space="preserve"> </w:t>
      </w:r>
      <w:r>
        <w:t xml:space="preserve">OIS review). Phase dates below are implementation milestones;</w:t>
      </w:r>
      <w:r>
        <w:t xml:space="preserve"> </w:t>
      </w:r>
      <w:r>
        <w:t xml:space="preserve">“Authored”</w:t>
      </w:r>
      <w:r>
        <w:t xml:space="preserve"> </w:t>
      </w:r>
      <w:r>
        <w:t xml:space="preserve">means</w:t>
      </w:r>
      <w:r>
        <w:t xml:space="preserve"> </w:t>
      </w:r>
      <w:r>
        <w:t xml:space="preserve">the deliverable documents and tooling exist, not that the milestone has been</w:t>
      </w:r>
      <w:r>
        <w:t xml:space="preserve"> </w:t>
      </w:r>
      <w:r>
        <w:t xml:space="preserve">executed.</w:t>
      </w:r>
    </w:p>
    <w:p>
      <w:pPr>
        <w:pStyle w:val="TableCaption"/>
      </w:pPr>
      <w:r>
        <w:t xml:space="preserve">Phased Delivery Roadmap — Phase 0 through Phase 6 (authoring vs. implementation)</w:t>
      </w:r>
    </w:p>
    <w:tbl>
      <w:tblPr>
        <w:tblStyle w:val="Table"/>
        <w:tblW w:type="pct" w:w="5000"/>
        <w:tblLayout w:type="fixed"/>
        <w:tblLook w:firstRow="1" w:lastRow="0" w:firstColumn="0" w:lastColumn="0" w:noHBand="0" w:noVBand="0" w:val="0020"/>
        <w:tblCaption w:val="Phased Delivery Roadmap — Phase 0 through Phase 6 (authoring vs. implementation)"/>
      </w:tblPr>
      <w:tblGrid>
        <w:gridCol w:w="955"/>
        <w:gridCol w:w="1365"/>
        <w:gridCol w:w="1502"/>
        <w:gridCol w:w="2184"/>
        <w:gridCol w:w="1911"/>
      </w:tblGrid>
      <w:tr>
        <w:trPr>
          <w:tblHeader w:val="on"/>
        </w:trPr>
        <w:tc>
          <w:tcPr/>
          <w:p>
            <w:pPr>
              <w:pStyle w:val="Compact"/>
            </w:pPr>
            <w:r>
              <w:t xml:space="preserve">Phase</w:t>
            </w:r>
          </w:p>
        </w:tc>
        <w:tc>
          <w:tcPr/>
          <w:p>
            <w:pPr>
              <w:pStyle w:val="Compact"/>
            </w:pPr>
            <w:r>
              <w:t xml:space="preserve">Timeline</w:t>
            </w:r>
          </w:p>
        </w:tc>
        <w:tc>
          <w:tcPr/>
          <w:p>
            <w:pPr>
              <w:pStyle w:val="Compact"/>
            </w:pPr>
            <w:r>
              <w:t xml:space="preserve">Authoring</w:t>
            </w:r>
          </w:p>
        </w:tc>
        <w:tc>
          <w:tcPr/>
          <w:p>
            <w:pPr>
              <w:pStyle w:val="Compact"/>
            </w:pPr>
            <w:r>
              <w:t xml:space="preserve">Implementation</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 Not started</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 Not started</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 Not started</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 Not started</w:t>
            </w:r>
          </w:p>
        </w:tc>
        <w:tc>
          <w:tcPr/>
          <w:p>
            <w:pPr>
              <w:pStyle w:val="Compact"/>
            </w:pPr>
            <w:r>
              <w:t xml:space="preserve">Part 17 PT/PII templates; Part 18 AT training program; KSI-022 → active; all 29 ADR-111 KSI rules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 Not started</w:t>
            </w:r>
          </w:p>
        </w:tc>
        <w:tc>
          <w:tcPr/>
          <w:p>
            <w:pPr>
              <w:pStyle w:val="Compact"/>
            </w:pPr>
            <w:r>
              <w:t xml:space="preserve">BOD 26-04 VDR/VER submission (due Dec 7); Authorization package assembled for the SSA AO; OSCAL AP+AR+POAM bundle (29/29 self-assessed, pending independent SCA)</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 Not started</w:t>
            </w:r>
          </w:p>
        </w:tc>
        <w:tc>
          <w:tcPr/>
          <w:p>
            <w:pPr>
              <w:pStyle w:val="Compact"/>
            </w:pPr>
            <w:r>
              <w:t xml:space="preserve">CR26 mandatory for inherited CSOs;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Complete</w:t>
            </w:r>
          </w:p>
        </w:tc>
        <w:tc>
          <w:tcPr/>
          <w:p>
            <w:pPr>
              <w:pStyle w:val="Compact"/>
            </w:pPr>
            <w:r>
              <w:t xml:space="preserve">⬜ Not started</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90"/>
    <w:bookmarkStart w:id="91"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91"/>
    <w:bookmarkEnd w:id="92"/>
    <w:bookmarkStart w:id="112"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3">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4">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5">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6">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7">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8">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9">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100">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101">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2">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3">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4">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5">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6">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7">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8">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9">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10">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11">
              <w:r>
                <w:rPr>
                  <w:rStyle w:val="Hyperlink"/>
                </w:rPr>
                <w:t xml:space="preserve">Book 19 — Authorization Package and ConMon</w:t>
              </w:r>
            </w:hyperlink>
          </w:p>
        </w:tc>
        <w:tc>
          <w:tcPr/>
          <w:p>
            <w:pPr>
              <w:pStyle w:val="Compact"/>
            </w:pPr>
            <w:r>
              <w:t xml:space="preserve">Part 19: authorization package structure, OSCAL AP+AR+POA&amp;M bundle (29/29 self-assessed, pending independent SCA), CA-7 ConMon program, BOD 26-04 VDR/VER submission, AO authorization checklist, authorization-decision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2026-07-08T09:11:08Z</dcterms:created>
  <dcterms:modified xsi:type="dcterms:W3CDTF">2026-07-08T09:11:08Z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