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Provisional Patent Application ��� UIAO</w:t>
      </w:r>
    </w:p>
    <w:p>
      <w:pPr>
        <w:pStyle w:val="Author"/>
      </w:pPr>
      <w:r>
        <w:t xml:space="preserve">[Inventor Full Legal Name]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provisional-patent-application--draft"/>
    <w:p>
      <w:pPr>
        <w:pStyle w:val="Heading1"/>
      </w:pPr>
      <w:r>
        <w:t xml:space="preserve">Provisional Patent Application — DRAFT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for inventor review and patent-counsel review.</w:t>
      </w:r>
      <w:r>
        <w:t xml:space="preserve"> </w:t>
      </w:r>
      <w:r>
        <w:rPr>
          <w:bCs/>
          <w:b/>
        </w:rPr>
        <w:t xml:space="preserve">Not legal</w:t>
      </w:r>
      <w:r>
        <w:rPr>
          <w:bCs/>
          <w:b/>
        </w:rPr>
        <w:t xml:space="preserve"> </w:t>
      </w:r>
      <w:r>
        <w:rPr>
          <w:bCs/>
          <w:b/>
        </w:rPr>
        <w:t xml:space="preserve">advice.</w:t>
      </w:r>
      <w:r>
        <w:t xml:space="preserve"> </w:t>
      </w:r>
      <w:r>
        <w:t xml:space="preserve">This draft was prepared from the repository's existing technical</w:t>
      </w:r>
      <w:r>
        <w:t xml:space="preserve"> </w:t>
      </w:r>
      <w:r>
        <w:t xml:space="preserve">artifacts and is intended to be enablement-compliant on its own; nothing</w:t>
      </w:r>
      <w:r>
        <w:t xml:space="preserve"> </w:t>
      </w:r>
      <w:r>
        <w:t xml:space="preserve">outside this document needs to be "incorporated by reference" for the</w:t>
      </w:r>
      <w:r>
        <w:t xml:space="preserve"> </w:t>
      </w:r>
      <w:r>
        <w:t xml:space="preserve">specification to stand. Inventor should still have a registered patent</w:t>
      </w:r>
      <w:r>
        <w:t xml:space="preserve"> </w:t>
      </w:r>
      <w:r>
        <w:t xml:space="preserve">agent or attorney review before filing.</w:t>
      </w:r>
    </w:p>
    <w:p>
      <w:r>
        <w:pict>
          <v:rect style="width:0;height:1.5pt" o:hralign="center" o:hrstd="t" o:hr="t"/>
        </w:pict>
      </w:r>
    </w:p>
    <w:bookmarkStart w:id="20" w:name="X78674464dfa1541e27d412766d5b81c9e2734eb"/>
    <w:p>
      <w:pPr>
        <w:pStyle w:val="Heading2"/>
      </w:pPr>
      <w:r>
        <w:t xml:space="preserve">Provisional Application Cover Sheet (Form PTO/SB/16) — Data to Enter</w:t>
      </w:r>
    </w:p>
    <w:p>
      <w:pPr>
        <w:pStyle w:val="FirstParagraph"/>
      </w:pPr>
      <w:r>
        <w:rPr>
          <w:bCs/>
          <w:b/>
        </w:rPr>
        <w:t xml:space="preserve">Title of the Invention</w:t>
      </w:r>
    </w:p>
    <w:p>
      <w:pPr>
        <w:pStyle w:val="BodyText"/>
      </w:pPr>
      <w:r>
        <w:t xml:space="preserve">Systems and Methods for Deterministic Provenance-Chained Migration of</w:t>
      </w:r>
      <w:r>
        <w:t xml:space="preserve"> </w:t>
      </w:r>
      <w:r>
        <w:t xml:space="preserve">On-Premises Directory Governance to Cloud Identity Platforms via a</w:t>
      </w:r>
      <w:r>
        <w:t xml:space="preserve"> </w:t>
      </w:r>
      <w:r>
        <w:t xml:space="preserve">Dual-Axis Adapter Registry and Canonical Claim Pipeline.</w:t>
      </w:r>
    </w:p>
    <w:p>
      <w:pPr>
        <w:pStyle w:val="BodyText"/>
      </w:pPr>
      <w:r>
        <w:rPr>
          <w:bCs/>
          <w:b/>
        </w:rPr>
        <w:t xml:space="preserve">Inventor(s)</w:t>
      </w:r>
    </w:p>
    <w:p>
      <w:pPr>
        <w:numPr>
          <w:ilvl w:val="0"/>
          <w:numId w:val="1001"/>
        </w:numPr>
        <w:pStyle w:val="Compact"/>
      </w:pPr>
      <w:r>
        <w:t xml:space="preserve">Full Name: [INVENTOR FULL LEGAL NAME]</w:t>
      </w:r>
    </w:p>
    <w:p>
      <w:pPr>
        <w:numPr>
          <w:ilvl w:val="0"/>
          <w:numId w:val="1001"/>
        </w:numPr>
        <w:pStyle w:val="Compact"/>
      </w:pPr>
      <w:r>
        <w:t xml:space="preserve">Residence: Gambrills, Maryland, United States of America</w:t>
      </w:r>
    </w:p>
    <w:p>
      <w:pPr>
        <w:pStyle w:val="FirstParagraph"/>
      </w:pPr>
      <w:r>
        <w:rPr>
          <w:bCs/>
          <w:b/>
        </w:rPr>
        <w:t xml:space="preserve">Correspondence Address</w:t>
      </w:r>
    </w:p>
    <w:p>
      <w:pPr>
        <w:pStyle w:val="BodyText"/>
      </w:pPr>
      <w:r>
        <w:t xml:space="preserve">[Inventor Name / Street / City / State / ZIP / Email / Phone]</w:t>
      </w:r>
    </w:p>
    <w:p>
      <w:pPr>
        <w:pStyle w:val="BodyText"/>
      </w:pPr>
      <w:r>
        <w:rPr>
          <w:bCs/>
          <w:b/>
        </w:rPr>
        <w:t xml:space="preserve">Entity Status:</w:t>
      </w:r>
      <w:r>
        <w:t xml:space="preserve"> </w:t>
      </w:r>
      <w:r>
        <w:t xml:space="preserve">Micro Entity (verify eligibility under 37 C.F.R. § 1.29)</w:t>
      </w:r>
    </w:p>
    <w:p>
      <w:pPr>
        <w:pStyle w:val="BodyText"/>
      </w:pPr>
      <w:r>
        <w:rPr>
          <w:bCs/>
          <w:b/>
        </w:rPr>
        <w:t xml:space="preserve">Attorney/Agent:</w:t>
      </w:r>
      <w:r>
        <w:t xml:space="preserve"> </w:t>
      </w:r>
      <w:r>
        <w:t xml:space="preserve">None (pro se)</w:t>
      </w:r>
      <w:r>
        <w:t xml:space="preserve"> </w:t>
      </w:r>
      <w:r>
        <w:rPr>
          <w:iCs/>
          <w:i/>
        </w:rPr>
        <w:t xml:space="preserve">— recommend a registered practitioner</w:t>
      </w:r>
      <w:r>
        <w:rPr>
          <w:iCs/>
          <w:i/>
        </w:rPr>
        <w:t xml:space="preserve"> </w:t>
      </w:r>
      <w:r>
        <w:rPr>
          <w:iCs/>
          <w:i/>
        </w:rPr>
        <w:t xml:space="preserve">review prior to filing the non-provisional within the 12-month window.</w:t>
      </w:r>
    </w:p>
    <w:p>
      <w:r>
        <w:pict>
          <v:rect style="width:0;height:1.5pt" o:hralign="center" o:hrstd="t" o:hr="t"/>
        </w:pict>
      </w:r>
    </w:p>
    <w:bookmarkEnd w:id="20"/>
    <w:bookmarkStart w:id="44" w:name="specification"/>
    <w:p>
      <w:pPr>
        <w:pStyle w:val="Heading2"/>
      </w:pPr>
      <w:r>
        <w:t xml:space="preserve">Specification</w:t>
      </w:r>
    </w:p>
    <w:bookmarkStart w:id="21" w:name="title-of-the-invention"/>
    <w:p>
      <w:pPr>
        <w:pStyle w:val="Heading3"/>
      </w:pPr>
      <w:r>
        <w:t xml:space="preserve">Title of the Invention</w:t>
      </w:r>
    </w:p>
    <w:p>
      <w:pPr>
        <w:pStyle w:val="FirstParagraph"/>
      </w:pPr>
      <w:r>
        <w:t xml:space="preserve">Systems and Methods for Deterministic Provenance-Chained Migration of</w:t>
      </w:r>
      <w:r>
        <w:t xml:space="preserve"> </w:t>
      </w:r>
      <w:r>
        <w:t xml:space="preserve">On-Premises Directory Governance to Cloud Identity Platforms via a</w:t>
      </w:r>
      <w:r>
        <w:t xml:space="preserve"> </w:t>
      </w:r>
      <w:r>
        <w:t xml:space="preserve">Dual-Axis Adapter Registry and Canonical Claim Pipeline.</w:t>
      </w:r>
    </w:p>
    <w:bookmarkEnd w:id="21"/>
    <w:bookmarkStart w:id="22" w:name="cross-reference-to-related-applications"/>
    <w:p>
      <w:pPr>
        <w:pStyle w:val="Heading3"/>
      </w:pPr>
      <w:r>
        <w:t xml:space="preserve">Cross-Reference to Related Applications</w:t>
      </w:r>
    </w:p>
    <w:p>
      <w:pPr>
        <w:pStyle w:val="FirstParagraph"/>
      </w:pPr>
      <w:r>
        <w:t xml:space="preserve">None.</w:t>
      </w:r>
    </w:p>
    <w:bookmarkEnd w:id="22"/>
    <w:bookmarkStart w:id="23" w:name="Xfe4af13eaa8bc06db21d7b10768d08ce36032a6"/>
    <w:p>
      <w:pPr>
        <w:pStyle w:val="Heading3"/>
      </w:pPr>
      <w:r>
        <w:t xml:space="preserve">Statement Regarding Federally Sponsored Research or Development</w:t>
      </w:r>
    </w:p>
    <w:p>
      <w:pPr>
        <w:pStyle w:val="FirstParagraph"/>
      </w:pPr>
      <w:r>
        <w:t xml:space="preserve">Not applicable.</w:t>
      </w:r>
    </w:p>
    <w:bookmarkEnd w:id="23"/>
    <w:bookmarkStart w:id="24" w:name="field-of-the-invention"/>
    <w:p>
      <w:pPr>
        <w:pStyle w:val="Heading3"/>
      </w:pPr>
      <w:r>
        <w:t xml:space="preserve">Field of the Invention</w:t>
      </w:r>
    </w:p>
    <w:p>
      <w:pPr>
        <w:pStyle w:val="FirstParagraph"/>
      </w:pPr>
      <w:r>
        <w:t xml:space="preserve">The present invention relates to enterprise identity and infrastructure</w:t>
      </w:r>
      <w:r>
        <w:t xml:space="preserve"> </w:t>
      </w:r>
      <w:r>
        <w:t xml:space="preserve">migration. More specifically, it relates to a computer-implemented</w:t>
      </w:r>
      <w:r>
        <w:t xml:space="preserve"> </w:t>
      </w:r>
      <w:r>
        <w:t xml:space="preserve">system and method for preserving governance continuity when migrating</w:t>
      </w:r>
      <w:r>
        <w:t xml:space="preserve"> </w:t>
      </w:r>
      <w:r>
        <w:t xml:space="preserve">on-premises directory services (for example, on-premises Active</w:t>
      </w:r>
      <w:r>
        <w:t xml:space="preserve"> </w:t>
      </w:r>
      <w:r>
        <w:t xml:space="preserve">Directory) to cloud identity platforms (for example, Microsoft Entra ID</w:t>
      </w:r>
      <w:r>
        <w:t xml:space="preserve"> </w:t>
      </w:r>
      <w:r>
        <w:t xml:space="preserve">and associated cloud services), by means of (i) a deterministic</w:t>
      </w:r>
      <w:r>
        <w:t xml:space="preserve"> </w:t>
      </w:r>
      <w:r>
        <w:t xml:space="preserve">provenance chain over discovered claims, (ii) a vendor-agnostic adapter</w:t>
      </w:r>
      <w:r>
        <w:t xml:space="preserve"> </w:t>
      </w:r>
      <w:r>
        <w:t xml:space="preserve">contract enforcing seven defined responsibility domains, (iii) a</w:t>
      </w:r>
      <w:r>
        <w:t xml:space="preserve"> </w:t>
      </w:r>
      <w:r>
        <w:t xml:space="preserve">dual-axis adapter registry validated against a machine-readable schema,</w:t>
      </w:r>
      <w:r>
        <w:t xml:space="preserve"> </w:t>
      </w:r>
      <w:r>
        <w:t xml:space="preserve">(iv) an immutable raw-evidence storage tier with write-once semantics,</w:t>
      </w:r>
      <w:r>
        <w:t xml:space="preserve"> </w:t>
      </w:r>
      <w:r>
        <w:t xml:space="preserve">and (v) drift- and freshness-aware validation against governance</w:t>
      </w:r>
      <w:r>
        <w:t xml:space="preserve"> </w:t>
      </w:r>
      <w:r>
        <w:t xml:space="preserve">indicators.</w:t>
      </w:r>
    </w:p>
    <w:bookmarkEnd w:id="24"/>
    <w:bookmarkStart w:id="27" w:name="background-of-the-invention"/>
    <w:p>
      <w:pPr>
        <w:pStyle w:val="Heading3"/>
      </w:pPr>
      <w:r>
        <w:t xml:space="preserve">Background of the Invention</w:t>
      </w:r>
    </w:p>
    <w:bookmarkStart w:id="25" w:name="technical-problem"/>
    <w:p>
      <w:pPr>
        <w:pStyle w:val="Heading4"/>
      </w:pPr>
      <w:r>
        <w:t xml:space="preserve">Technical Problem</w:t>
      </w:r>
    </w:p>
    <w:p>
      <w:pPr>
        <w:pStyle w:val="FirstParagraph"/>
      </w:pPr>
      <w:r>
        <w:t xml:space="preserve">On-premises directory services such as Active Directory function not</w:t>
      </w:r>
      <w:r>
        <w:t xml:space="preserve"> </w:t>
      </w:r>
      <w:r>
        <w:t xml:space="preserve">merely as identity stores but as the de-facto governance plane for at</w:t>
      </w:r>
      <w:r>
        <w:t xml:space="preserve"> </w:t>
      </w:r>
      <w:r>
        <w:t xml:space="preserve">least eleven categories of dependent infrastructure objects, including</w:t>
      </w:r>
      <w:r>
        <w:t xml:space="preserve"> </w:t>
      </w:r>
      <w:r>
        <w:t xml:space="preserve">users, computers, service accounts, security groups, group policy</w:t>
      </w:r>
      <w:r>
        <w:t xml:space="preserve"> </w:t>
      </w:r>
      <w:r>
        <w:t xml:space="preserve">objects, integrated DNS/DHCP, public-key infrastructure (PKI),</w:t>
      </w:r>
      <w:r>
        <w:t xml:space="preserve"> </w:t>
      </w:r>
      <w:r>
        <w:t xml:space="preserve">RADIUS/802.1X authenticators, LDAP-bound applications, service</w:t>
      </w:r>
      <w:r>
        <w:t xml:space="preserve"> </w:t>
      </w:r>
      <w:r>
        <w:t xml:space="preserve">principal names (SPNs), and cross-domain trust relationships.</w:t>
      </w:r>
    </w:p>
    <w:p>
      <w:pPr>
        <w:pStyle w:val="BodyText"/>
      </w:pPr>
      <w:r>
        <w:t xml:space="preserve">Conventional cloud-migration tooling typically performs object-level</w:t>
      </w:r>
      <w:r>
        <w:t xml:space="preserve"> </w:t>
      </w:r>
      <w:r>
        <w:t xml:space="preserve">synchronization (for example, Entra Cloud Sync replicating users and</w:t>
      </w:r>
      <w:r>
        <w:t xml:space="preserve"> </w:t>
      </w:r>
      <w:r>
        <w:t xml:space="preserve">groups) and surface-level analytics (for example, Intune group policy</w:t>
      </w:r>
      <w:r>
        <w:t xml:space="preserve"> </w:t>
      </w:r>
      <w:r>
        <w:t xml:space="preserve">analytics). Such tooling does not reconstruct the governance semantics</w:t>
      </w:r>
      <w:r>
        <w:t xml:space="preserve"> </w:t>
      </w:r>
      <w:r>
        <w:t xml:space="preserve">that the on-premises directory had implicitly provided — namely,</w:t>
      </w:r>
      <w:r>
        <w:t xml:space="preserve"> </w:t>
      </w:r>
      <w:r>
        <w:t xml:space="preserve">hierarchical inheritance, lifecycle authority, certificate auto-renewal,</w:t>
      </w:r>
      <w:r>
        <w:t xml:space="preserve"> </w:t>
      </w:r>
      <w:r>
        <w:t xml:space="preserve">Kerberos delegation, integrated name-resolution authority, and</w:t>
      </w:r>
      <w:r>
        <w:t xml:space="preserve"> </w:t>
      </w:r>
      <w:r>
        <w:t xml:space="preserve">deterministic policy targeting.</w:t>
      </w:r>
    </w:p>
    <w:p>
      <w:pPr>
        <w:pStyle w:val="BodyText"/>
      </w:pPr>
      <w:r>
        <w:t xml:space="preserve">In practice, the resulting governance loss manifests as silent</w:t>
      </w:r>
      <w:r>
        <w:t xml:space="preserve"> </w:t>
      </w:r>
      <w:r>
        <w:t xml:space="preserve">post-migration failures: certificates that expire without renewal</w:t>
      </w:r>
      <w:r>
        <w:t xml:space="preserve"> </w:t>
      </w:r>
      <w:r>
        <w:t xml:space="preserve">because their auto-enrollment templates were lost; RADIUS/802.1X access</w:t>
      </w:r>
      <w:r>
        <w:t xml:space="preserve"> </w:t>
      </w:r>
      <w:r>
        <w:t xml:space="preserve">control breaking because the policy server can no longer evaluate group</w:t>
      </w:r>
      <w:r>
        <w:t xml:space="preserve"> </w:t>
      </w:r>
      <w:r>
        <w:t xml:space="preserve">membership against the previous directory; LDAP-bound legacy</w:t>
      </w:r>
      <w:r>
        <w:t xml:space="preserve"> </w:t>
      </w:r>
      <w:r>
        <w:t xml:space="preserve">applications failing to authenticate because no equivalent LDAP endpoint</w:t>
      </w:r>
      <w:r>
        <w:t xml:space="preserve"> </w:t>
      </w:r>
      <w:r>
        <w:t xml:space="preserve">exists in the cloud target; service accounts losing Kerberos delegation;</w:t>
      </w:r>
      <w:r>
        <w:t xml:space="preserve"> </w:t>
      </w:r>
      <w:r>
        <w:t xml:space="preserve">and DNS/DHCP records becoming stale. These failures are characteristic</w:t>
      </w:r>
      <w:r>
        <w:t xml:space="preserve"> </w:t>
      </w:r>
      <w:r>
        <w:t xml:space="preserve">of the prior art because no existing system provides (a) a uniform</w:t>
      </w:r>
      <w:r>
        <w:t xml:space="preserve"> </w:t>
      </w:r>
      <w:r>
        <w:t xml:space="preserve">contract for</w:t>
      </w:r>
      <w:r>
        <w:t xml:space="preserve"> </w:t>
      </w:r>
      <w:r>
        <w:rPr>
          <w:iCs/>
          <w:i/>
        </w:rPr>
        <w:t xml:space="preserve">discovering</w:t>
      </w:r>
      <w:r>
        <w:t xml:space="preserve"> </w:t>
      </w:r>
      <w:r>
        <w:t xml:space="preserve">the governance state across heterogeneous</w:t>
      </w:r>
      <w:r>
        <w:t xml:space="preserve"> </w:t>
      </w:r>
      <w:r>
        <w:t xml:space="preserve">sources, (b) a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 </w:t>
      </w:r>
      <w:r>
        <w:t xml:space="preserve">representation of that state suitable</w:t>
      </w:r>
      <w:r>
        <w:t xml:space="preserve"> </w:t>
      </w:r>
      <w:r>
        <w:t xml:space="preserve">for downstream validation, or (c) a</w:t>
      </w:r>
      <w:r>
        <w:t xml:space="preserve"> </w:t>
      </w:r>
      <w:r>
        <w:rPr>
          <w:iCs/>
          <w:i/>
        </w:rPr>
        <w:t xml:space="preserve">machine-validated</w:t>
      </w:r>
      <w:r>
        <w:t xml:space="preserve"> </w:t>
      </w:r>
      <w:r>
        <w:t xml:space="preserve">registry by</w:t>
      </w:r>
      <w:r>
        <w:t xml:space="preserve"> </w:t>
      </w:r>
      <w:r>
        <w:t xml:space="preserve">which migration tooling may be composed across vendors.</w:t>
      </w:r>
    </w:p>
    <w:bookmarkEnd w:id="25"/>
    <w:bookmarkStart w:id="26" w:name="limitations-of-the-prior-art"/>
    <w:p>
      <w:pPr>
        <w:pStyle w:val="Heading4"/>
      </w:pPr>
      <w:r>
        <w:t xml:space="preserve">Limitations of the Prior Art</w:t>
      </w:r>
    </w:p>
    <w:p>
      <w:pPr>
        <w:pStyle w:val="FirstParagraph"/>
      </w:pPr>
      <w:r>
        <w:t xml:space="preserve">Existing approaches fall into three categories, each with technical</w:t>
      </w:r>
      <w:r>
        <w:t xml:space="preserve"> </w:t>
      </w:r>
      <w:r>
        <w:t xml:space="preserve">limitations the present invention overcomes: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Vendor-supplied synchronization tools</w:t>
      </w:r>
      <w:r>
        <w:t xml:space="preserve"> </w:t>
      </w:r>
      <w:r>
        <w:t xml:space="preserve">(e.g., directory</w:t>
      </w:r>
      <w:r>
        <w:t xml:space="preserve"> </w:t>
      </w:r>
      <w:r>
        <w:t xml:space="preserve">synchronization engines) operate at the object level only. They do</w:t>
      </w:r>
      <w:r>
        <w:t xml:space="preserve"> </w:t>
      </w:r>
      <w:r>
        <w:t xml:space="preserve">not capture or reproduce inheritance, delegation semantics, or</w:t>
      </w:r>
      <w:r>
        <w:t xml:space="preserve"> </w:t>
      </w:r>
      <w:r>
        <w:t xml:space="preserve">certificate lifecycle policy. They produce no portable provenance</w:t>
      </w:r>
      <w:r>
        <w:t xml:space="preserve"> </w:t>
      </w:r>
      <w:r>
        <w:t xml:space="preserve">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Configuration-management add-ons</w:t>
      </w:r>
      <w:r>
        <w:t xml:space="preserve"> </w:t>
      </w:r>
      <w:r>
        <w:t xml:space="preserve">(e.g., group policy analytics)</w:t>
      </w:r>
      <w:r>
        <w:t xml:space="preserve"> </w:t>
      </w:r>
      <w:r>
        <w:t xml:space="preserve">produce non-deterministic mappings, lack adversarial drift</w:t>
      </w:r>
      <w:r>
        <w:t xml:space="preserve"> </w:t>
      </w:r>
      <w:r>
        <w:t xml:space="preserve">detection, and provide no rollback evidence.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 one-off migration scripts</w:t>
      </w:r>
      <w:r>
        <w:t xml:space="preserve"> </w:t>
      </w:r>
      <w:r>
        <w:t xml:space="preserve">are non-reusable, lack a</w:t>
      </w:r>
      <w:r>
        <w:t xml:space="preserve"> </w:t>
      </w:r>
      <w:r>
        <w:t xml:space="preserve">uniform contract, write to mutable target stores without</w:t>
      </w:r>
      <w:r>
        <w:t xml:space="preserve"> </w:t>
      </w:r>
      <w:r>
        <w:t xml:space="preserve">write-once recovery guarantees, and cannot be validated against a</w:t>
      </w:r>
      <w:r>
        <w:t xml:space="preserve"> </w:t>
      </w:r>
      <w:r>
        <w:t xml:space="preserve">machine-readable schema.</w:t>
      </w:r>
    </w:p>
    <w:p>
      <w:pPr>
        <w:pStyle w:val="FirstParagraph"/>
      </w:pPr>
      <w:r>
        <w:t xml:space="preserve">No prior system, to the inventor's knowledge, combines (i) a</w:t>
      </w:r>
      <w:r>
        <w:t xml:space="preserve"> </w:t>
      </w:r>
      <w:r>
        <w:t xml:space="preserve">dual-axis adapter registry with formal JSON-Schema-based validation,</w:t>
      </w:r>
      <w:r>
        <w:t xml:space="preserve"> </w:t>
      </w:r>
      <w:r>
        <w:t xml:space="preserve">(ii) a per-claim cryptographic provenance hash chained to connection</w:t>
      </w:r>
      <w:r>
        <w:t xml:space="preserve"> </w:t>
      </w:r>
      <w:r>
        <w:t xml:space="preserve">and query provenance, (iii) an immutable raw-evidence storage tier</w:t>
      </w:r>
      <w:r>
        <w:t xml:space="preserve"> </w:t>
      </w:r>
      <w:r>
        <w:t xml:space="preserve">that rejects modification of archived runs at the storage layer, and</w:t>
      </w:r>
      <w:r>
        <w:t xml:space="preserve"> </w:t>
      </w:r>
      <w:r>
        <w:t xml:space="preserve">(iv) a freshness-and-drift-aware validation pipeline producing</w:t>
      </w:r>
      <w:r>
        <w:t xml:space="preserve"> </w:t>
      </w:r>
      <w:r>
        <w:t xml:space="preserve">governance evidence in standardized formats.</w:t>
      </w:r>
    </w:p>
    <w:bookmarkEnd w:id="26"/>
    <w:bookmarkEnd w:id="27"/>
    <w:bookmarkStart w:id="28" w:name="summary-of-the-invention"/>
    <w:p>
      <w:pPr>
        <w:pStyle w:val="Heading3"/>
      </w:pPr>
      <w:r>
        <w:t xml:space="preserve">Summary of the Invention</w:t>
      </w:r>
    </w:p>
    <w:p>
      <w:pPr>
        <w:pStyle w:val="FirstParagraph"/>
      </w:pPr>
      <w:r>
        <w:t xml:space="preserve">The invention provides a computer-implemented system and method,</w:t>
      </w:r>
      <w:r>
        <w:t xml:space="preserve"> </w:t>
      </w:r>
      <w:r>
        <w:t xml:space="preserve">hereafter referred to as the Unified Infrastructure Administration</w:t>
      </w:r>
      <w:r>
        <w:t xml:space="preserve"> </w:t>
      </w:r>
      <w:r>
        <w:t xml:space="preserve">Overlay ("UIAO"), comprising: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vendor-agnostic adapter contract</w:t>
      </w:r>
      <w:r>
        <w:t xml:space="preserve"> </w:t>
      </w:r>
      <w:r>
        <w:t xml:space="preserve">implemented as an abstract</w:t>
      </w:r>
      <w:r>
        <w:t xml:space="preserve"> </w:t>
      </w:r>
      <w:r>
        <w:t xml:space="preserve">base class enforcing seven defined responsibility domains:</w:t>
      </w:r>
      <w:r>
        <w:t xml:space="preserve"> </w:t>
      </w:r>
      <w:r>
        <w:t xml:space="preserve">(2.1) Connection &amp; Identity; (2.2) Schema Discovery &amp; Canonical</w:t>
      </w:r>
      <w:r>
        <w:t xml:space="preserve"> </w:t>
      </w:r>
      <w:r>
        <w:t xml:space="preserve">Mapping; (2.3) Query Normalization &amp; Deterministic Extraction;</w:t>
      </w:r>
      <w:r>
        <w:t xml:space="preserve"> </w:t>
      </w:r>
      <w:r>
        <w:t xml:space="preserve">(2.4) Data Normalization &amp; Claim Construction; (2.5) Drift</w:t>
      </w:r>
      <w:r>
        <w:t xml:space="preserve"> </w:t>
      </w:r>
      <w:r>
        <w:t xml:space="preserve">Detection &amp; Version Integrity; (2.6) Evidence Packaging &amp;</w:t>
      </w:r>
      <w:r>
        <w:t xml:space="preserve"> </w:t>
      </w:r>
      <w:r>
        <w:t xml:space="preserve">Indicator Integration; and (2.7) Security, Privacy, and</w:t>
      </w:r>
      <w:r>
        <w:t xml:space="preserve"> </w:t>
      </w:r>
      <w:r>
        <w:t xml:space="preserve">Operational Controls.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plurality of concrete adapters</w:t>
      </w:r>
      <w:r>
        <w:t xml:space="preserve"> </w:t>
      </w:r>
      <w:r>
        <w:t xml:space="preserve">each implementing the</w:t>
      </w:r>
      <w:r>
        <w:t xml:space="preserve"> </w:t>
      </w:r>
      <w:r>
        <w:t xml:space="preserve">contract for a distinct dependency category, including (without</w:t>
      </w:r>
      <w:r>
        <w:t xml:space="preserve"> </w:t>
      </w:r>
      <w:r>
        <w:t xml:space="preserve">limitation) IP-address management ("ipam"), public-key</w:t>
      </w:r>
      <w:r>
        <w:t xml:space="preserve"> </w:t>
      </w:r>
      <w:r>
        <w:t xml:space="preserve">infrastructure ("pki"), RADIUS/network access ("radius"), LDAP</w:t>
      </w:r>
      <w:r>
        <w:t xml:space="preserve"> </w:t>
      </w:r>
      <w:r>
        <w:t xml:space="preserve">proxying ("ldap-proxy"), directory synchronization-engine</w:t>
      </w:r>
      <w:r>
        <w:t xml:space="preserve"> </w:t>
      </w:r>
      <w:r>
        <w:t xml:space="preserve">retirement ("sync-engine"), device-management migration</w:t>
      </w:r>
      <w:r>
        <w:t xml:space="preserve"> </w:t>
      </w:r>
      <w:r>
        <w:t xml:space="preserve">("device-management"), time-services ("ntp"), and distributed-file</w:t>
      </w:r>
      <w:r>
        <w:t xml:space="preserve"> </w:t>
      </w:r>
      <w:r>
        <w:t xml:space="preserve">services ("dfs").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dual-axis adapter registry</w:t>
      </w:r>
      <w:r>
        <w:t xml:space="preserve">, expressed in a machine-readable</w:t>
      </w:r>
      <w:r>
        <w:t xml:space="preserve"> </w:t>
      </w:r>
      <w:r>
        <w:t xml:space="preserve">document (for example, YAML), in which each adapter declares one</w:t>
      </w:r>
      <w:r>
        <w:t xml:space="preserve"> </w:t>
      </w:r>
      <w:r>
        <w:t xml:space="preserve">value on an</w:t>
      </w:r>
      <w:r>
        <w:t xml:space="preserve"> </w:t>
      </w:r>
      <w:r>
        <w:rPr>
          <w:iCs/>
          <w:i/>
        </w:rPr>
        <w:t xml:space="preserve">operational axis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</w:t>
      </w:r>
      <w:r>
        <w:t xml:space="preserve">: modernization vs.</w:t>
      </w:r>
      <w:r>
        <w:t xml:space="preserve"> </w:t>
      </w:r>
      <w:r>
        <w:t xml:space="preserve">conformance) and one value on a</w:t>
      </w:r>
      <w:r>
        <w:t xml:space="preserve"> </w:t>
      </w:r>
      <w:r>
        <w:rPr>
          <w:iCs/>
          <w:i/>
        </w:rPr>
        <w:t xml:space="preserve">doctrinal axis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mission-class</w:t>
      </w:r>
      <w:r>
        <w:t xml:space="preserve">:</w:t>
      </w:r>
      <w:r>
        <w:t xml:space="preserve"> </w:t>
      </w:r>
      <w:r>
        <w:t xml:space="preserve">identity, telemetry, policy, enforcement, integration, mixed, or</w:t>
      </w:r>
      <w:r>
        <w:t xml:space="preserve"> </w:t>
      </w:r>
      <w:r>
        <w:t xml:space="preserve">unmapped). The registry is validated against a JSON Schema</w:t>
      </w:r>
      <w:r>
        <w:t xml:space="preserve"> </w:t>
      </w:r>
      <w:r>
        <w:t xml:space="preserve">document that enforces required fields, enumerated values,</w:t>
      </w:r>
      <w:r>
        <w:t xml:space="preserve"> </w:t>
      </w:r>
      <w:r>
        <w:t xml:space="preserve">identifier patterns, and lifecycle invariants.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canonical claim pipeline</w:t>
      </w:r>
      <w:r>
        <w:t xml:space="preserve"> </w:t>
      </w:r>
      <w:r>
        <w:t xml:space="preserve">in which raw data discovered by an</w:t>
      </w:r>
      <w:r>
        <w:t xml:space="preserve"> </w:t>
      </w:r>
      <w:r>
        <w:t xml:space="preserve">adapter is normalized into a</w:t>
      </w:r>
      <w:r>
        <w:t xml:space="preserve"> </w:t>
      </w:r>
      <w:r>
        <w:rPr>
          <w:rStyle w:val="VerbatimChar"/>
        </w:rPr>
        <w:t xml:space="preserve">ClaimObject</w:t>
      </w:r>
      <w:r>
        <w:t xml:space="preserve"> </w:t>
      </w:r>
      <w:r>
        <w:t xml:space="preserve">carrying a</w:t>
      </w:r>
      <w:r>
        <w:t xml:space="preserve"> </w:t>
      </w:r>
      <w:r>
        <w:t xml:space="preserve">cryptographic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, grouped into a</w:t>
      </w:r>
      <w:r>
        <w:t xml:space="preserve"> </w:t>
      </w:r>
      <w:r>
        <w:rPr>
          <w:rStyle w:val="VerbatimChar"/>
        </w:rPr>
        <w:t xml:space="preserve">ClaimSet</w:t>
      </w:r>
      <w:r>
        <w:t xml:space="preserve">,</w:t>
      </w:r>
      <w:r>
        <w:t xml:space="preserve"> </w:t>
      </w:r>
      <w:r>
        <w:t xml:space="preserve">correlated with</w:t>
      </w:r>
      <w:r>
        <w:t xml:space="preserve"> </w:t>
      </w:r>
      <w:r>
        <w:rPr>
          <w:rStyle w:val="VerbatimChar"/>
        </w:rPr>
        <w:t xml:space="preserve">ConnectionProvenance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QueryProvenance</w:t>
      </w:r>
      <w:r>
        <w:t xml:space="preserve"> </w:t>
      </w:r>
      <w:r>
        <w:t xml:space="preserve">envelopes, and packaged as an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keyed to a</w:t>
      </w:r>
      <w:r>
        <w:t xml:space="preserve"> </w:t>
      </w:r>
      <w:r>
        <w:t xml:space="preserve">governance indicator identifier ("ksi_id").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deterministic provenance chain</w:t>
      </w:r>
      <w:r>
        <w:t xml:space="preserve"> </w:t>
      </w:r>
      <w:r>
        <w:t xml:space="preserve">under which the same</w:t>
      </w:r>
      <w:r>
        <w:t xml:space="preserve"> </w:t>
      </w:r>
      <w:r>
        <w:t xml:space="preserve">discovered state, queried from the same source at the same</w:t>
      </w:r>
      <w:r>
        <w:t xml:space="preserve"> </w:t>
      </w:r>
      <w:r>
        <w:t xml:space="preserve">logical time, yields identical canonical output, including</w:t>
      </w:r>
      <w:r>
        <w:t xml:space="preserve"> </w:t>
      </w:r>
      <w:r>
        <w:t xml:space="preserve">identical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 </w:t>
      </w:r>
      <w:r>
        <w:t xml:space="preserve">on the schema mapping and identical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on each claim, computed as a stable hash over a</w:t>
      </w:r>
      <w:r>
        <w:t xml:space="preserve"> </w:t>
      </w:r>
      <w:r>
        <w:t xml:space="preserve">canonically serialized payload.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An immutable raw-evidence storage tier</w:t>
      </w:r>
      <w:r>
        <w:t xml:space="preserve"> </w:t>
      </w:r>
      <w:r>
        <w:t xml:space="preserve">("Raw Zone") that</w:t>
      </w:r>
      <w:r>
        <w:t xml:space="preserve"> </w:t>
      </w:r>
      <w:r>
        <w:t xml:space="preserve">checkpoints each run into a per-adapter, per-run path, enforces</w:t>
      </w:r>
      <w:r>
        <w:t xml:space="preserve"> </w:t>
      </w:r>
      <w:r>
        <w:t xml:space="preserve">write-once semantics by raising a</w:t>
      </w:r>
      <w:r>
        <w:t xml:space="preserve"> </w:t>
      </w:r>
      <w:r>
        <w:rPr>
          <w:rStyle w:val="VerbatimChar"/>
        </w:rPr>
        <w:t xml:space="preserve">RawZoneViolation</w:t>
      </w:r>
      <w:r>
        <w:t xml:space="preserve"> </w:t>
      </w:r>
      <w:r>
        <w:t xml:space="preserve">exception on</w:t>
      </w:r>
      <w:r>
        <w:t xml:space="preserve"> </w:t>
      </w:r>
      <w:r>
        <w:t xml:space="preserve">any attempted modification of an archived run, and is governed by</w:t>
      </w:r>
      <w:r>
        <w:t xml:space="preserve"> </w:t>
      </w:r>
      <w:r>
        <w:t xml:space="preserve">a retention policy expressed in years.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drift- and freshness-aware validation engine</w:t>
      </w:r>
      <w:r>
        <w:t xml:space="preserve"> </w:t>
      </w:r>
      <w:r>
        <w:t xml:space="preserve">that consumes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instances, evaluates them against governance</w:t>
      </w:r>
      <w:r>
        <w:t xml:space="preserve"> </w:t>
      </w:r>
      <w:r>
        <w:t xml:space="preserve">indicators and per-adapter freshness windows, emits a</w:t>
      </w:r>
      <w:r>
        <w:t xml:space="preserve"> </w:t>
      </w:r>
      <w:r>
        <w:rPr>
          <w:rStyle w:val="VerbatimChar"/>
        </w:rPr>
        <w:t xml:space="preserve">ValidationResult</w:t>
      </w:r>
      <w:r>
        <w:t xml:space="preserve"> </w:t>
      </w:r>
      <w:r>
        <w:t xml:space="preserve">with a status drawn from {pass, fail, error,</w:t>
      </w:r>
      <w:r>
        <w:t xml:space="preserve"> </w:t>
      </w:r>
      <w:r>
        <w:t xml:space="preserve">stale}, and records drift indicators of typed categories.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multi-plane orchestrator</w:t>
      </w:r>
      <w:r>
        <w:t xml:space="preserve"> </w:t>
      </w:r>
      <w:r>
        <w:t xml:space="preserve">that transforms upstream policy</w:t>
      </w:r>
      <w:r>
        <w:t xml:space="preserve"> </w:t>
      </w:r>
      <w:r>
        <w:t xml:space="preserve">findings into an intermediate representation, evaluates that</w:t>
      </w:r>
      <w:r>
        <w:t xml:space="preserve"> </w:t>
      </w:r>
      <w:r>
        <w:t xml:space="preserve">representation against governance indicators, builds evidence</w:t>
      </w:r>
      <w:r>
        <w:t xml:space="preserve"> </w:t>
      </w:r>
      <w:r>
        <w:t xml:space="preserve">bundles, and exports artifacts in standardized control-catalog</w:t>
      </w:r>
      <w:r>
        <w:t xml:space="preserve"> </w:t>
      </w:r>
      <w:r>
        <w:t xml:space="preserve">formats.</w:t>
      </w:r>
    </w:p>
    <w:p>
      <w:pPr>
        <w:pStyle w:val="FirstParagraph"/>
      </w:pPr>
      <w:r>
        <w:t xml:space="preserve">The above components, in combination, solve the previously</w:t>
      </w:r>
      <w:r>
        <w:t xml:space="preserve"> </w:t>
      </w:r>
      <w:r>
        <w:t xml:space="preserve">unaddressed technical problem of governance continuity during cloud</w:t>
      </w:r>
      <w:r>
        <w:t xml:space="preserve"> </w:t>
      </w:r>
      <w:r>
        <w:t xml:space="preserve">identity migration by reconstructing, in vendor-agnostic and</w:t>
      </w:r>
      <w:r>
        <w:t xml:space="preserve"> </w:t>
      </w:r>
      <w:r>
        <w:t xml:space="preserve">machine-verifiable form, the implicit governance that the</w:t>
      </w:r>
      <w:r>
        <w:t xml:space="preserve"> </w:t>
      </w:r>
      <w:r>
        <w:t xml:space="preserve">on-premises directory had supplied.</w:t>
      </w:r>
    </w:p>
    <w:bookmarkEnd w:id="28"/>
    <w:bookmarkStart w:id="29" w:name="brief-description-of-the-drawings"/>
    <w:p>
      <w:pPr>
        <w:pStyle w:val="Heading3"/>
      </w:pPr>
      <w:r>
        <w:t xml:space="preserve">Brief Description of the Drawings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1</w:t>
      </w:r>
      <w:r>
        <w:t xml:space="preserve"> </w:t>
      </w:r>
      <w:r>
        <w:t xml:space="preserve">is a block diagram of the UIAO system, depicting an</w:t>
      </w:r>
      <w:r>
        <w:t xml:space="preserve"> </w:t>
      </w:r>
      <w:r>
        <w:t xml:space="preserve">on-premises directory and dependent infrastructure on the left, a</w:t>
      </w:r>
      <w:r>
        <w:t xml:space="preserve"> </w:t>
      </w:r>
      <w:r>
        <w:t xml:space="preserve">cloud identity platform on the right, and the UIAO components</w:t>
      </w:r>
      <w:r>
        <w:t xml:space="preserve"> </w:t>
      </w:r>
      <w:r>
        <w:t xml:space="preserve">(adapter contract, registry, claim pipeline, raw zone, validator,</w:t>
      </w:r>
      <w:r>
        <w:t xml:space="preserve"> </w:t>
      </w:r>
      <w:r>
        <w:t xml:space="preserve">orchestrator) positioned between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2</w:t>
      </w:r>
      <w:r>
        <w:t xml:space="preserve"> </w:t>
      </w:r>
      <w:r>
        <w:t xml:space="preserve">is a class diagram of the adapter contract, showing</w:t>
      </w:r>
      <w:r>
        <w:t xml:space="preserve"> </w:t>
      </w:r>
      <w:r>
        <w:rPr>
          <w:rStyle w:val="VerbatimChar"/>
        </w:rPr>
        <w:t xml:space="preserve">DatabaseAdapterBase</w:t>
      </w:r>
      <w:r>
        <w:t xml:space="preserve"> </w:t>
      </w:r>
      <w:r>
        <w:t xml:space="preserve">and the seven dataclasses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ConnectionProvenance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SchemaMappingObject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3</w:t>
      </w:r>
      <w:r>
        <w:t xml:space="preserve"> </w:t>
      </w:r>
      <w:r>
        <w:t xml:space="preserve">is a sequence diagram of the canonical claim pipeline,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discover_schema()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detect_drift()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collect_evidence()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4</w:t>
      </w:r>
      <w:r>
        <w:t xml:space="preserve"> </w:t>
      </w:r>
      <w:r>
        <w:t xml:space="preserve">is a schematic of the dual-axis registry, showing the</w:t>
      </w:r>
      <w:r>
        <w:t xml:space="preserve"> </w:t>
      </w:r>
      <w:r>
        <w:t xml:space="preserve">operational axis (modernization vs. conformance) crossed with the</w:t>
      </w:r>
      <w:r>
        <w:t xml:space="preserve"> </w:t>
      </w:r>
      <w:r>
        <w:t xml:space="preserve">doctrinal axis (identity / telemetry / policy / enforcement /</w:t>
      </w:r>
      <w:r>
        <w:t xml:space="preserve"> </w:t>
      </w:r>
      <w:r>
        <w:t xml:space="preserve">integration).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5</w:t>
      </w:r>
      <w:r>
        <w:t xml:space="preserve"> </w:t>
      </w:r>
      <w:r>
        <w:t xml:space="preserve">is a state diagram of an adapter's 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reserved → proposed → active → deprecated → retired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6</w:t>
      </w:r>
      <w:r>
        <w:t xml:space="preserve"> </w:t>
      </w:r>
      <w:r>
        <w:t xml:space="preserve">is a flowchart of the five-stage migration pipeline</w:t>
      </w:r>
      <w:r>
        <w:t xml:space="preserve"> </w:t>
      </w:r>
      <w:r>
        <w:t xml:space="preserve">(Discover → Normalize → Map → Migrate → Validate), with the</w:t>
      </w:r>
      <w:r>
        <w:t xml:space="preserve"> </w:t>
      </w:r>
      <w:r>
        <w:t xml:space="preserve">governance gates between stages.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7</w:t>
      </w:r>
      <w:r>
        <w:t xml:space="preserve"> </w:t>
      </w:r>
      <w:r>
        <w:t xml:space="preserve">is a block diagram of the Raw Zone storage layout,</w:t>
      </w:r>
      <w:r>
        <w:t xml:space="preserve"> </w:t>
      </w:r>
      <w:r>
        <w:t xml:space="preserve">showing the per-adapter / per-run directory structure and the</w:t>
      </w:r>
      <w:r>
        <w:t xml:space="preserve"> </w:t>
      </w:r>
      <w:r>
        <w:rPr>
          <w:rStyle w:val="VerbatimChar"/>
        </w:rPr>
        <w:t xml:space="preserve">RawZoneViolation</w:t>
      </w:r>
      <w:r>
        <w:t xml:space="preserve"> </w:t>
      </w:r>
      <w:r>
        <w:t xml:space="preserve">enforcement point.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8</w:t>
      </w:r>
      <w:r>
        <w:t xml:space="preserve"> </w:t>
      </w:r>
      <w:r>
        <w:t xml:space="preserve">is a flowchart of the validation engine, showing</w:t>
      </w:r>
      <w:r>
        <w:t xml:space="preserve"> </w:t>
      </w:r>
      <w:r>
        <w:t xml:space="preserve">evaluation of freshness windows, computation of drift indicators,</w:t>
      </w:r>
      <w:r>
        <w:t xml:space="preserve"> </w:t>
      </w:r>
      <w:r>
        <w:t xml:space="preserve">and emission of</w:t>
      </w:r>
      <w:r>
        <w:t xml:space="preserve"> </w:t>
      </w:r>
      <w:r>
        <w:rPr>
          <w:rStyle w:val="VerbatimChar"/>
        </w:rPr>
        <w:t xml:space="preserve">ValidationResult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9</w:t>
      </w:r>
      <w:r>
        <w:t xml:space="preserve"> </w:t>
      </w:r>
      <w:r>
        <w:t xml:space="preserve">is a table of the eleven on-premises directory</w:t>
      </w:r>
      <w:r>
        <w:t xml:space="preserve"> </w:t>
      </w:r>
      <w:r>
        <w:t xml:space="preserve">dependency categories and their corresponding adapter assignments.</w:t>
      </w:r>
    </w:p>
    <w:bookmarkEnd w:id="29"/>
    <w:bookmarkStart w:id="42" w:name="detailed-description-of-the-invention"/>
    <w:p>
      <w:pPr>
        <w:pStyle w:val="Heading3"/>
      </w:pPr>
      <w:r>
        <w:t xml:space="preserve">Detailed Description of the Invention</w:t>
      </w:r>
    </w:p>
    <w:p>
      <w:pPr>
        <w:pStyle w:val="FirstParagraph"/>
      </w:pPr>
      <w:r>
        <w:t xml:space="preserve">The following description discloses preferred and alternative</w:t>
      </w:r>
      <w:r>
        <w:t xml:space="preserve"> </w:t>
      </w:r>
      <w:r>
        <w:t xml:space="preserve">embodiments. The invention is not limited to these embodiments;</w:t>
      </w:r>
      <w:r>
        <w:t xml:space="preserve"> </w:t>
      </w:r>
      <w:r>
        <w:t xml:space="preserve">modifications consistent with the principles described will be</w:t>
      </w:r>
      <w:r>
        <w:t xml:space="preserve"> </w:t>
      </w:r>
      <w:r>
        <w:t xml:space="preserve">apparent to a person of ordinary skill in the art.</w:t>
      </w:r>
    </w:p>
    <w:bookmarkStart w:id="30" w:name="Xfc21e1f09b6b3d7a2b0a47e7b5773e928698810"/>
    <w:p>
      <w:pPr>
        <w:pStyle w:val="Heading4"/>
      </w:pPr>
      <w:r>
        <w:t xml:space="preserve">1. System Overview</w:t>
      </w:r>
    </w:p>
    <w:p>
      <w:pPr>
        <w:pStyle w:val="FirstParagraph"/>
      </w:pPr>
      <w:r>
        <w:t xml:space="preserve">Referring to Figure 1, the system comprises a plurality of</w:t>
      </w:r>
      <w:r>
        <w:t xml:space="preserve"> </w:t>
      </w:r>
      <w:r>
        <w:t xml:space="preserve">adapter modules ("adapters"), an adapter registry, a canonical</w:t>
      </w:r>
      <w:r>
        <w:t xml:space="preserve"> </w:t>
      </w:r>
      <w:r>
        <w:t xml:space="preserve">claim pipeline, a write-once raw-evidence storage tier, a</w:t>
      </w:r>
      <w:r>
        <w:t xml:space="preserve"> </w:t>
      </w:r>
      <w:r>
        <w:t xml:space="preserve">validation engine, and an orchestrator. The adapters interface</w:t>
      </w:r>
      <w:r>
        <w:t xml:space="preserve"> </w:t>
      </w:r>
      <w:r>
        <w:t xml:space="preserve">on one side with sources of on-premises governance state (the</w:t>
      </w:r>
      <w:r>
        <w:t xml:space="preserve"> </w:t>
      </w:r>
      <w:r>
        <w:t xml:space="preserve">directory, PKI, IPAM, RADIUS, etc.) and on the other side with</w:t>
      </w:r>
      <w:r>
        <w:t xml:space="preserve"> </w:t>
      </w:r>
      <w:r>
        <w:t xml:space="preserve">cloud identity targets and downstream evidence consumers. The</w:t>
      </w:r>
      <w:r>
        <w:t xml:space="preserve"> </w:t>
      </w:r>
      <w:r>
        <w:t xml:space="preserve">registry, schema, and validator together form a vendor-agnostic</w:t>
      </w:r>
      <w:r>
        <w:t xml:space="preserve"> </w:t>
      </w:r>
      <w:r>
        <w:t xml:space="preserve">overlay that does not depend on any particular cloud identity</w:t>
      </w:r>
      <w:r>
        <w:t xml:space="preserve"> </w:t>
      </w:r>
      <w:r>
        <w:t xml:space="preserve">implementation.</w:t>
      </w:r>
    </w:p>
    <w:bookmarkEnd w:id="30"/>
    <w:bookmarkStart w:id="31" w:name="Xd116efe8fd4b22f35296d12021da291a40b9ccd"/>
    <w:p>
      <w:pPr>
        <w:pStyle w:val="Heading4"/>
      </w:pPr>
      <w:r>
        <w:t xml:space="preserve">2. The Adapter Contract</w:t>
      </w:r>
    </w:p>
    <w:p>
      <w:pPr>
        <w:pStyle w:val="FirstParagraph"/>
      </w:pPr>
      <w:r>
        <w:t xml:space="preserve">In a preferred embodiment, the adapter contract is implemented</w:t>
      </w:r>
      <w:r>
        <w:t xml:space="preserve"> </w:t>
      </w:r>
      <w:r>
        <w:t xml:space="preserve">as an abstract base class (the "adapter base"). The adapter base</w:t>
      </w:r>
      <w:r>
        <w:t xml:space="preserve"> </w:t>
      </w:r>
      <w:r>
        <w:t xml:space="preserve">enforces seven canonical responsibility domains and exposes the</w:t>
      </w:r>
      <w:r>
        <w:t xml:space="preserve"> </w:t>
      </w:r>
      <w:r>
        <w:t xml:space="preserve">following abstract methods, each returning a typed dataclass:</w:t>
      </w:r>
    </w:p>
    <w:p>
      <w:pPr>
        <w:pStyle w:val="SourceCode"/>
      </w:pPr>
      <w:r>
        <w:rPr>
          <w:rStyle w:val="VerbatimChar"/>
        </w:rPr>
        <w:t xml:space="preserve">connect()           -&gt; ConnectionProvenance</w:t>
      </w:r>
      <w:r>
        <w:br/>
      </w:r>
      <w:r>
        <w:rPr>
          <w:rStyle w:val="VerbatimChar"/>
        </w:rPr>
        <w:t xml:space="preserve">discover_schema()   -&gt; SchemaMappingObject</w:t>
      </w:r>
      <w:r>
        <w:br/>
      </w:r>
      <w:r>
        <w:rPr>
          <w:rStyle w:val="VerbatimChar"/>
        </w:rPr>
        <w:t xml:space="preserve">execute_query(q)    -&gt; QueryProvenance</w:t>
      </w:r>
      <w:r>
        <w:br/>
      </w:r>
      <w:r>
        <w:rPr>
          <w:rStyle w:val="VerbatimChar"/>
        </w:rPr>
        <w:t xml:space="preserve">normalize(rows)     -&gt; ClaimSet</w:t>
      </w:r>
      <w:r>
        <w:br/>
      </w:r>
      <w:r>
        <w:rPr>
          <w:rStyle w:val="VerbatimChar"/>
        </w:rPr>
        <w:t xml:space="preserve">detect_drift()      -&gt; DriftReport</w:t>
      </w:r>
      <w:r>
        <w:br/>
      </w:r>
      <w:r>
        <w:rPr>
          <w:rStyle w:val="VerbatimChar"/>
        </w:rPr>
        <w:t xml:space="preserve">collect_evidence(k) -&gt; EvidenceObject    # concrete, composes the above</w:t>
      </w:r>
    </w:p>
    <w:p>
      <w:pPr>
        <w:pStyle w:val="FirstParagraph"/>
      </w:pPr>
      <w:r>
        <w:t xml:space="preserve">A concrete adapter ("ipam", "pki", "radius", "ldap-proxy",</w:t>
      </w:r>
      <w:r>
        <w:t xml:space="preserve"> </w:t>
      </w:r>
      <w:r>
        <w:t xml:space="preserve">"sync-engine", "device-management", "ntp", "dfs", and similar)</w:t>
      </w:r>
      <w:r>
        <w:t xml:space="preserve"> </w:t>
      </w:r>
      <w:r>
        <w:t xml:space="preserve">subclasses the adapter base, supplies a stable</w:t>
      </w:r>
      <w:r>
        <w:t xml:space="preserve"> </w:t>
      </w:r>
      <w:r>
        <w:rPr>
          <w:rStyle w:val="VerbatimChar"/>
        </w:rPr>
        <w:t xml:space="preserve">ADAPTER_ID</w:t>
      </w:r>
      <w:r>
        <w:t xml:space="preserve"> </w:t>
      </w:r>
      <w:r>
        <w:t xml:space="preserve">string, and implements the abstract methods.</w:t>
      </w:r>
    </w:p>
    <w:p>
      <w:pPr>
        <w:pStyle w:val="BodyText"/>
      </w:pPr>
      <w:r>
        <w:t xml:space="preserve">The adapter contract enforces three invariants that distinguish</w:t>
      </w:r>
      <w:r>
        <w:t xml:space="preserve"> </w:t>
      </w:r>
      <w:r>
        <w:t xml:space="preserve">the invention from prior-art migration tooling: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Idempotency.</w:t>
      </w:r>
      <w:r>
        <w:t xml:space="preserve"> </w:t>
      </w:r>
      <w:r>
        <w:t xml:space="preserve">Repeated invocation of</w:t>
      </w:r>
      <w:r>
        <w:t xml:space="preserve"> </w:t>
      </w:r>
      <w:r>
        <w:rPr>
          <w:rStyle w:val="VerbatimChar"/>
        </w:rPr>
        <w:t xml:space="preserve">discover_schema()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execute_query()</w:t>
      </w:r>
      <w:r>
        <w:t xml:space="preserve"> </w:t>
      </w:r>
      <w:r>
        <w:t xml:space="preserve">against an unchanged source produces</w:t>
      </w:r>
      <w:r>
        <w:t xml:space="preserve"> </w:t>
      </w:r>
      <w:r>
        <w:t xml:space="preserve">identical output, including identical hashes.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Statelessness across runs.</w:t>
      </w:r>
      <w:r>
        <w:t xml:space="preserve"> </w:t>
      </w:r>
      <w:r>
        <w:t xml:space="preserve">Adapters carry no</w:t>
      </w:r>
      <w:r>
        <w:t xml:space="preserve"> </w:t>
      </w:r>
      <w:r>
        <w:t xml:space="preserve">implementation state between invocations; all run-relevant</w:t>
      </w:r>
      <w:r>
        <w:t xml:space="preserve"> </w:t>
      </w:r>
      <w:r>
        <w:t xml:space="preserve">state is persisted through the provenance envelopes and the</w:t>
      </w:r>
      <w:r>
        <w:t xml:space="preserve"> </w:t>
      </w:r>
      <w:r>
        <w:t xml:space="preserve">raw zone.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Conformance vs. modernization separation.</w:t>
      </w:r>
      <w:r>
        <w:t xml:space="preserve"> </w:t>
      </w:r>
      <w:r>
        <w:t xml:space="preserve">An adapter</w:t>
      </w:r>
      <w:r>
        <w:t xml:space="preserve"> </w:t>
      </w:r>
      <w:r>
        <w:t xml:space="preserve">declares, in its registry entry, whether it observes state</w:t>
      </w:r>
      <w:r>
        <w:t xml:space="preserve"> </w:t>
      </w:r>
      <w:r>
        <w:t xml:space="preserve">("conformance") or mutates a target environment</w:t>
      </w:r>
      <w:r>
        <w:t xml:space="preserve"> </w:t>
      </w:r>
      <w:r>
        <w:t xml:space="preserve">("modernization"). The registry schema enforces this</w:t>
      </w:r>
      <w:r>
        <w:t xml:space="preserve"> </w:t>
      </w:r>
      <w:r>
        <w:t xml:space="preserve">separation.</w:t>
      </w:r>
    </w:p>
    <w:bookmarkEnd w:id="31"/>
    <w:bookmarkStart w:id="32" w:name="X15a58de4678dcade3cebcf89164300ae0bc4767"/>
    <w:p>
      <w:pPr>
        <w:pStyle w:val="Heading4"/>
      </w:pPr>
      <w:r>
        <w:t xml:space="preserve">3. Canonical Dataclasses (Provenance Envelopes)</w:t>
      </w:r>
    </w:p>
    <w:p>
      <w:pPr>
        <w:pStyle w:val="FirstParagraph"/>
      </w:pPr>
      <w:r>
        <w:t xml:space="preserve">Each abstract method returns a frozen-style dataclass providing</w:t>
      </w:r>
      <w:r>
        <w:t xml:space="preserve"> </w:t>
      </w:r>
      <w:r>
        <w:t xml:space="preserve">the provenance and content envelope for that domain. In a</w:t>
      </w:r>
      <w:r>
        <w:t xml:space="preserve"> </w:t>
      </w:r>
      <w:r>
        <w:t xml:space="preserve">preferred embodiment: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ConnectionProvenance:</w:t>
      </w:r>
      <w:r>
        <w:br/>
      </w:r>
      <w:r>
        <w:rPr>
          <w:rStyle w:val="NormalTok"/>
        </w:rPr>
        <w:t xml:space="preserve">    identity: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auth_method: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endpoint: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tls_version: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mtls_enabled: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SchemaMappingObject:</w:t>
      </w:r>
      <w:r>
        <w:br/>
      </w:r>
      <w:r>
        <w:rPr>
          <w:rStyle w:val="NormalTok"/>
        </w:rPr>
        <w:t xml:space="preserve">    vendor_schema: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canonical_schema: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mapping_rules: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unmapped_fields: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version_hash: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QueryProvenance:</w:t>
      </w:r>
      <w:r>
        <w:br/>
      </w:r>
      <w:r>
        <w:rPr>
          <w:rStyle w:val="NormalTok"/>
        </w:rPr>
        <w:t xml:space="preserve">    canonical_query: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vendor_query: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execution_plan_hash: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row_count: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ClaimObject:</w:t>
      </w:r>
      <w:r>
        <w:br/>
      </w:r>
      <w:r>
        <w:rPr>
          <w:rStyle w:val="NormalTok"/>
        </w:rPr>
        <w:t xml:space="preserve">    claim_id: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provenance_hash: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ClaimSet:</w:t>
      </w:r>
      <w:r>
        <w:br/>
      </w:r>
      <w:r>
        <w:rPr>
          <w:rStyle w:val="NormalTok"/>
        </w:rPr>
        <w:t xml:space="preserve">    claims: List[ClaimObject]</w:t>
      </w:r>
      <w:r>
        <w:br/>
      </w:r>
      <w:r>
        <w:rPr>
          <w:rStyle w:val="NormalTok"/>
        </w:rPr>
        <w:t xml:space="preserve">    source_reference: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DriftReport:</w:t>
      </w:r>
      <w:r>
        <w:br/>
      </w:r>
      <w:r>
        <w:rPr>
          <w:rStyle w:val="NormalTok"/>
        </w:rPr>
        <w:t xml:space="preserve">    drift_type: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first_observed: datetime</w:t>
      </w:r>
      <w:r>
        <w:br/>
      </w:r>
      <w:r>
        <w:rPr>
          <w:rStyle w:val="NormalTok"/>
        </w:rPr>
        <w:t xml:space="preserve">    last_observed: datetime</w:t>
      </w:r>
      <w:r>
        <w:br/>
      </w:r>
      <w:r>
        <w:rPr>
          <w:rStyle w:val="NormalTok"/>
        </w:rPr>
        <w:t xml:space="preserve">    details: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remediation: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EvidenceObject:</w:t>
      </w:r>
      <w:r>
        <w:br/>
      </w:r>
      <w:r>
        <w:rPr>
          <w:rStyle w:val="NormalTok"/>
        </w:rPr>
        <w:t xml:space="preserve">    ksi_id: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raw_data: Any</w:t>
      </w:r>
      <w:r>
        <w:br/>
      </w:r>
      <w:r>
        <w:rPr>
          <w:rStyle w:val="NormalTok"/>
        </w:rPr>
        <w:t xml:space="preserve">    normalized_data: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provenance: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freshness_valid: </w:t>
      </w:r>
      <w:r>
        <w:rPr>
          <w:rStyle w:val="BuiltInTok"/>
        </w:rPr>
        <w:t xml:space="preserve">bool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 </w:t>
      </w:r>
      <w:r>
        <w:t xml:space="preserve">are computed as</w:t>
      </w:r>
      <w:r>
        <w:t xml:space="preserve"> </w:t>
      </w:r>
      <w:r>
        <w:t xml:space="preserve">SHA-256 digests over a deterministic JSON serialization (sorted</w:t>
      </w:r>
      <w:r>
        <w:t xml:space="preserve"> </w:t>
      </w:r>
      <w:r>
        <w:t xml:space="preserve">keys, default string coercion for non-JSON-native types). In a</w:t>
      </w:r>
      <w:r>
        <w:t xml:space="preserve"> </w:t>
      </w:r>
      <w:r>
        <w:t xml:space="preserve">preferred embodiment the helper 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json.dumps(payload,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hashlib.sha256(serialized.encode(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)).hexdigest()</w:t>
      </w:r>
    </w:p>
    <w:p>
      <w:pPr>
        <w:pStyle w:val="FirstParagraph"/>
      </w:pPr>
      <w:r>
        <w:t xml:space="preserve">This design produces a deterministic provenance chain: given an</w:t>
      </w:r>
      <w:r>
        <w:t xml:space="preserve"> </w:t>
      </w:r>
      <w:r>
        <w:t xml:space="preserve">unchanged source, two independent runs of</w:t>
      </w:r>
      <w:r>
        <w:t xml:space="preserve"> </w:t>
      </w:r>
      <w:r>
        <w:rPr>
          <w:rStyle w:val="VerbatimChar"/>
        </w:rPr>
        <w:t xml:space="preserve">collect_evidence()</w:t>
      </w:r>
      <w:r>
        <w:t xml:space="preserve"> </w:t>
      </w:r>
      <w:r>
        <w:t xml:space="preserve">yield byte-identical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values, enabling downstream verification of authenticity,</w:t>
      </w:r>
      <w:r>
        <w:t xml:space="preserve"> </w:t>
      </w:r>
      <w:r>
        <w:t xml:space="preserve">reproducibility, and unchanged-state attestation.</w:t>
      </w:r>
    </w:p>
    <w:bookmarkEnd w:id="32"/>
    <w:bookmarkStart w:id="33" w:name="Xf2b3fa15434050aa6261c789509c140fc8a4811"/>
    <w:p>
      <w:pPr>
        <w:pStyle w:val="Heading4"/>
      </w:pPr>
      <w:r>
        <w:t xml:space="preserve">4. The Dual-Axis Adapter Registry</w:t>
      </w:r>
    </w:p>
    <w:p>
      <w:pPr>
        <w:pStyle w:val="FirstParagraph"/>
      </w:pPr>
      <w:r>
        <w:t xml:space="preserve">Adapters are registered in a machine-readable registry document</w:t>
      </w:r>
      <w:r>
        <w:t xml:space="preserve"> </w:t>
      </w:r>
      <w:r>
        <w:t xml:space="preserve">(in a preferred embodiment, YAML). Each registry entry declares</w:t>
      </w:r>
      <w:r>
        <w:t xml:space="preserve"> </w:t>
      </w:r>
      <w:r>
        <w:t xml:space="preserve">the adapter on two orthogonal axes: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Operational axis (</w:t>
      </w:r>
      <w:r>
        <w:rPr>
          <w:rStyle w:val="VerbatimChar"/>
          <w:bCs/>
          <w:b/>
        </w:rPr>
        <w:t xml:space="preserve">class</w:t>
      </w:r>
      <w:r>
        <w:rPr>
          <w:bCs/>
          <w:b/>
        </w:rPr>
        <w:t xml:space="preserve">)</w:t>
      </w:r>
      <w:r>
        <w:t xml:space="preserve"> </w:t>
      </w:r>
      <w:r>
        <w:t xml:space="preserve">— drawn from the enumeration</w:t>
      </w:r>
      <w:r>
        <w:t xml:space="preserve"> </w:t>
      </w:r>
      <w:r>
        <w:rPr>
          <w:rStyle w:val="VerbatimChar"/>
        </w:rPr>
        <w:t xml:space="preserve">{modernization, conformance}</w:t>
      </w:r>
      <w:r>
        <w:t xml:space="preserve">. A</w:t>
      </w:r>
      <w:r>
        <w:t xml:space="preserve"> </w:t>
      </w:r>
      <w:r>
        <w:rPr>
          <w:rStyle w:val="VerbatimChar"/>
        </w:rPr>
        <w:t xml:space="preserve">modernization</w:t>
      </w:r>
      <w:r>
        <w:t xml:space="preserve"> </w:t>
      </w:r>
      <w:r>
        <w:t xml:space="preserve">adapter is</w:t>
      </w:r>
      <w:r>
        <w:t xml:space="preserve"> </w:t>
      </w:r>
      <w:r>
        <w:t xml:space="preserve">permitted to write to a target environment; a</w:t>
      </w:r>
      <w:r>
        <w:t xml:space="preserve"> </w:t>
      </w:r>
      <w:r>
        <w:rPr>
          <w:rStyle w:val="VerbatimChar"/>
        </w:rPr>
        <w:t xml:space="preserve">conformance</w:t>
      </w:r>
      <w:r>
        <w:t xml:space="preserve"> </w:t>
      </w:r>
      <w:r>
        <w:t xml:space="preserve">adapter is read-only and may not mutate the target.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Doctrinal axis (</w:t>
      </w:r>
      <w:r>
        <w:rPr>
          <w:rStyle w:val="VerbatimChar"/>
          <w:bCs/>
          <w:b/>
        </w:rPr>
        <w:t xml:space="preserve">mission-class</w:t>
      </w:r>
      <w:r>
        <w:rPr>
          <w:bCs/>
          <w:b/>
        </w:rPr>
        <w:t xml:space="preserve">)</w:t>
      </w:r>
      <w:r>
        <w:t xml:space="preserve"> </w:t>
      </w:r>
      <w:r>
        <w:t xml:space="preserve">— drawn from the</w:t>
      </w:r>
      <w:r>
        <w:t xml:space="preserve"> </w:t>
      </w:r>
      <w:r>
        <w:t xml:space="preserve">enumeration</w:t>
      </w:r>
      <w:r>
        <w:t xml:space="preserve"> </w:t>
      </w:r>
      <w:r>
        <w:rPr>
          <w:rStyle w:val="VerbatimChar"/>
        </w:rPr>
        <w:t xml:space="preserve">{identity, telemetry, policy, enforcement, integration, mixed, unmapped}</w:t>
      </w:r>
      <w:r>
        <w:t xml:space="preserve">. Each value corresponds to a</w:t>
      </w:r>
      <w:r>
        <w:t xml:space="preserve"> </w:t>
      </w:r>
      <w:r>
        <w:t xml:space="preserve">canonical role against a single source of truth (SSOT).</w:t>
      </w:r>
    </w:p>
    <w:p>
      <w:pPr>
        <w:pStyle w:val="FirstParagraph"/>
      </w:pPr>
      <w:r>
        <w:t xml:space="preserve">The dual-axis design is itself a technical mechanism: by</w:t>
      </w:r>
      <w:r>
        <w:t xml:space="preserve"> </w:t>
      </w:r>
      <w:r>
        <w:t xml:space="preserve">crossing operational behavior against doctrinal role, the</w:t>
      </w:r>
      <w:r>
        <w:t xml:space="preserve"> </w:t>
      </w:r>
      <w:r>
        <w:t xml:space="preserve">registry can be partitioned for independent continuous-integration</w:t>
      </w:r>
      <w:r>
        <w:t xml:space="preserve"> </w:t>
      </w:r>
      <w:r>
        <w:t xml:space="preserve">drift scanning, can be feature-flagged at runtime per axis, and</w:t>
      </w:r>
      <w:r>
        <w:t xml:space="preserve"> </w:t>
      </w:r>
      <w:r>
        <w:t xml:space="preserve">can reject ambiguous adapter declarations at validation time</w:t>
      </w:r>
      <w:r>
        <w:t xml:space="preserve"> </w:t>
      </w:r>
      <w:r>
        <w:t xml:space="preserve">before any target environment is touched.</w:t>
      </w:r>
    </w:p>
    <w:p>
      <w:pPr>
        <w:pStyle w:val="BodyText"/>
      </w:pPr>
      <w:r>
        <w:t xml:space="preserve">The registry is validated against a JSON Schema document. In a</w:t>
      </w:r>
      <w:r>
        <w:t xml:space="preserve"> </w:t>
      </w:r>
      <w:r>
        <w:t xml:space="preserve">preferred embodiment, the schema requires the following fields</w:t>
      </w:r>
      <w:r>
        <w:t xml:space="preserve"> </w:t>
      </w:r>
      <w:r>
        <w:t xml:space="preserve">on every adapter entry: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(kebab-case identifier, never</w:t>
      </w:r>
      <w:r>
        <w:t xml:space="preserve"> </w:t>
      </w:r>
      <w:r>
        <w:t xml:space="preserve">renamed once assigned),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mission-class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(drawn from</w:t>
      </w:r>
      <w:r>
        <w:t xml:space="preserve"> </w:t>
      </w:r>
      <w:r>
        <w:rPr>
          <w:rStyle w:val="VerbatimChar"/>
        </w:rPr>
        <w:t xml:space="preserve">{reserved, proposed, active, deprecated, retired}</w:t>
      </w:r>
      <w:r>
        <w:t xml:space="preserve">),</w:t>
      </w:r>
      <w:r>
        <w:t xml:space="preserve"> </w:t>
      </w:r>
      <w:r>
        <w:rPr>
          <w:rStyle w:val="VerbatimChar"/>
        </w:rPr>
        <w:t xml:space="preserve">gcc-boundary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ssot-mutation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certificate-anchored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object-identity-only</w:t>
      </w:r>
      <w:r>
        <w:t xml:space="preserve">. Optional</w:t>
      </w:r>
      <w:r>
        <w:t xml:space="preserve"> </w:t>
      </w:r>
      <w:r>
        <w:t xml:space="preserve">fields include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(deployment phase),</w:t>
      </w:r>
      <w:r>
        <w:t xml:space="preserve"> </w:t>
      </w:r>
      <w:r>
        <w:rPr>
          <w:rStyle w:val="VerbatimChar"/>
        </w:rPr>
        <w:t xml:space="preserve">mission-class-notes</w:t>
      </w:r>
      <w:r>
        <w:t xml:space="preserve"> </w:t>
      </w:r>
      <w:r>
        <w:t xml:space="preserve">(required when</w:t>
      </w:r>
      <w:r>
        <w:t xml:space="preserve"> </w:t>
      </w:r>
      <w:r>
        <w:rPr>
          <w:rStyle w:val="VerbatimChar"/>
        </w:rPr>
        <w:t xml:space="preserve">mission-class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successor</w:t>
      </w:r>
      <w:r>
        <w:t xml:space="preserve"> </w:t>
      </w:r>
      <w:r>
        <w:t xml:space="preserve">(required when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),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runner-class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evidence-class</w:t>
      </w:r>
      <w:r>
        <w:t xml:space="preserve">.</w:t>
      </w:r>
    </w:p>
    <w:p>
      <w:pPr>
        <w:pStyle w:val="BodyText"/>
      </w:pPr>
      <w:r>
        <w:t xml:space="preserve">Identifier stability is enforced by an invariant: once assigned,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never renamed; retirement proceeds by setting</w:t>
      </w:r>
      <w:r>
        <w:t xml:space="preserve"> </w:t>
      </w:r>
      <w:r>
        <w:rPr>
          <w:rStyle w:val="VerbatimChar"/>
        </w:rPr>
        <w:t xml:space="preserve">status: deprecated</w:t>
      </w:r>
      <w:r>
        <w:t xml:space="preserve"> </w:t>
      </w:r>
      <w:r>
        <w:t xml:space="preserve">and naming a</w:t>
      </w:r>
      <w:r>
        <w:t xml:space="preserve"> </w:t>
      </w:r>
      <w:r>
        <w:rPr>
          <w:rStyle w:val="VerbatimChar"/>
        </w:rPr>
        <w:t xml:space="preserve">successor</w:t>
      </w:r>
      <w:r>
        <w:t xml:space="preserve">. This invariant</w:t>
      </w:r>
      <w:r>
        <w:t xml:space="preserve"> </w:t>
      </w:r>
      <w:r>
        <w:t xml:space="preserve">preserves provenance integrity across registry versions —</w:t>
      </w:r>
      <w:r>
        <w:t xml:space="preserve"> </w:t>
      </w:r>
      <w:r>
        <w:t xml:space="preserve">historical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records continue to resolve to the</w:t>
      </w:r>
      <w:r>
        <w:t xml:space="preserve"> </w:t>
      </w:r>
      <w:r>
        <w:t xml:space="preserve">correct adapter identity even after the active implementation</w:t>
      </w:r>
      <w:r>
        <w:t xml:space="preserve"> </w:t>
      </w:r>
      <w:r>
        <w:t xml:space="preserve">has been replaced.</w:t>
      </w:r>
    </w:p>
    <w:bookmarkEnd w:id="33"/>
    <w:bookmarkStart w:id="34" w:name="Xc2874cf349bb6d62c08cc22448ca3d7304f7cb3"/>
    <w:p>
      <w:pPr>
        <w:pStyle w:val="Heading4"/>
      </w:pPr>
      <w:r>
        <w:t xml:space="preserve">5. The Canonical Claim Pipeline</w:t>
      </w:r>
    </w:p>
    <w:p>
      <w:pPr>
        <w:pStyle w:val="FirstParagraph"/>
      </w:pPr>
      <w:r>
        <w:t xml:space="preserve">Referring to Figure 3, in operation an adapter executes the</w:t>
      </w:r>
      <w:r>
        <w:t xml:space="preserve"> </w:t>
      </w:r>
      <w:r>
        <w:t xml:space="preserve">following sequence: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establishes a secure authenticated connection</w:t>
      </w:r>
      <w:r>
        <w:t xml:space="preserve"> </w:t>
      </w:r>
      <w:r>
        <w:t xml:space="preserve">(in a preferred embodiment, mutually authenticated TLS) and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ConnectionProvenance</w:t>
      </w:r>
      <w:r>
        <w:t xml:space="preserve"> </w:t>
      </w:r>
      <w:r>
        <w:t xml:space="preserve">envelope.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discover_schema()</w:t>
      </w:r>
      <w:r>
        <w:t xml:space="preserve"> </w:t>
      </w:r>
      <w:r>
        <w:t xml:space="preserve">retrieves the vendor schema, maps it to</w:t>
      </w:r>
      <w:r>
        <w:t xml:space="preserve"> </w:t>
      </w:r>
      <w:r>
        <w:t xml:space="preserve">the UIAO canonical schema, records unmapped fields, and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SchemaMappingObject</w:t>
      </w:r>
      <w:r>
        <w:t xml:space="preserve"> </w:t>
      </w:r>
      <w:r>
        <w:t xml:space="preserve">carrying a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execute_query(canonical_query)</w:t>
      </w:r>
      <w:r>
        <w:t xml:space="preserve"> </w:t>
      </w:r>
      <w:r>
        <w:t xml:space="preserve">translates a canonical</w:t>
      </w:r>
      <w:r>
        <w:t xml:space="preserve"> </w:t>
      </w:r>
      <w:r>
        <w:t xml:space="preserve">query into a vendor-specific query, executes it</w:t>
      </w:r>
      <w:r>
        <w:t xml:space="preserve"> </w:t>
      </w:r>
      <w:r>
        <w:t xml:space="preserve">deterministically, and returns a</w:t>
      </w:r>
      <w:r>
        <w:t xml:space="preserve"> </w:t>
      </w:r>
      <w:r>
        <w:rPr>
          <w:rStyle w:val="VerbatimChar"/>
        </w:rPr>
        <w:t xml:space="preserve">QueryProvenance</w:t>
      </w:r>
      <w:r>
        <w:t xml:space="preserve"> </w:t>
      </w:r>
      <w:r>
        <w:t xml:space="preserve">envelope</w:t>
      </w:r>
      <w:r>
        <w:t xml:space="preserve"> </w:t>
      </w:r>
      <w:r>
        <w:t xml:space="preserve">including an</w:t>
      </w:r>
      <w:r>
        <w:t xml:space="preserve"> </w:t>
      </w:r>
      <w:r>
        <w:rPr>
          <w:rStyle w:val="VerbatimChar"/>
        </w:rPr>
        <w:t xml:space="preserve">execution_plan_hash</w:t>
      </w:r>
      <w:r>
        <w:t xml:space="preserve"> </w:t>
      </w:r>
      <w:r>
        <w:t xml:space="preserve">and row count.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normalize(raw_rows)</w:t>
      </w:r>
      <w:r>
        <w:t xml:space="preserve"> </w:t>
      </w:r>
      <w:r>
        <w:t xml:space="preserve">reduces vendor rows to a</w:t>
      </w:r>
      <w:r>
        <w:t xml:space="preserve"> </w:t>
      </w:r>
      <w:r>
        <w:rPr>
          <w:rStyle w:val="VerbatimChar"/>
        </w:rPr>
        <w:t xml:space="preserve">ClaimSet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ClaimObject</w:t>
      </w:r>
      <w:r>
        <w:t xml:space="preserve"> </w:t>
      </w:r>
      <w:r>
        <w:t xml:space="preserve">instances. Each</w:t>
      </w:r>
      <w:r>
        <w:t xml:space="preserve"> </w:t>
      </w:r>
      <w:r>
        <w:rPr>
          <w:rStyle w:val="VerbatimChar"/>
        </w:rPr>
        <w:t xml:space="preserve">ClaimObject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over its canonicalized fields.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detect_drift()</w:t>
      </w:r>
      <w:r>
        <w:t xml:space="preserve"> </w:t>
      </w:r>
      <w:r>
        <w:t xml:space="preserve">compares the current state against prior</w:t>
      </w:r>
      <w:r>
        <w:t xml:space="preserve"> </w:t>
      </w:r>
      <w:r>
        <w:t xml:space="preserve">recorded state and returns a</w:t>
      </w:r>
      <w:r>
        <w:t xml:space="preserve"> </w:t>
      </w:r>
      <w:r>
        <w:rPr>
          <w:rStyle w:val="VerbatimChar"/>
        </w:rPr>
        <w:t xml:space="preserve">DriftReport</w:t>
      </w:r>
      <w:r>
        <w:t xml:space="preserve"> </w:t>
      </w:r>
      <w:r>
        <w:t xml:space="preserve">typed under one</w:t>
      </w:r>
      <w:r>
        <w:t xml:space="preserve"> </w:t>
      </w:r>
      <w:r>
        <w:t xml:space="preserve">or more drift categories (for example,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collect_evidence(ksi_id)</w:t>
      </w:r>
      <w:r>
        <w:t xml:space="preserve"> </w:t>
      </w:r>
      <w:r>
        <w:t xml:space="preserve">composes the above outputs into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keyed to the supplied governance-</w:t>
      </w:r>
      <w:r>
        <w:t xml:space="preserve"> </w:t>
      </w:r>
      <w:r>
        <w:t xml:space="preserve">indicator identifier, populating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normalized_data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block that includes a</w:t>
      </w:r>
      <w:r>
        <w:t xml:space="preserve"> </w:t>
      </w:r>
      <w:r>
        <w:t xml:space="preserve">hash over the normalized claim set.</w:t>
      </w:r>
    </w:p>
    <w:p>
      <w:pPr>
        <w:pStyle w:val="FirstParagraph"/>
      </w:pPr>
      <w:r>
        <w:t xml:space="preserve">The pipeline is deterministic end-to-end: every output</w:t>
      </w:r>
      <w:r>
        <w:t xml:space="preserve"> </w:t>
      </w:r>
      <w:r>
        <w:t xml:space="preserve">artifact carries provenance back to the connection, the</w:t>
      </w:r>
      <w:r>
        <w:t xml:space="preserve"> </w:t>
      </w:r>
      <w:r>
        <w:t xml:space="preserve">schema mapping, the canonical query, and the source adapter.</w:t>
      </w:r>
    </w:p>
    <w:bookmarkEnd w:id="34"/>
    <w:bookmarkStart w:id="35" w:name="Xcf804c48ac6999b273c0aabfad490eb2bfca38f"/>
    <w:p>
      <w:pPr>
        <w:pStyle w:val="Heading4"/>
      </w:pPr>
      <w:r>
        <w:t xml:space="preserve">6. The Immutable Raw Zone</w:t>
      </w:r>
    </w:p>
    <w:p>
      <w:pPr>
        <w:pStyle w:val="FirstParagraph"/>
      </w:pPr>
      <w:r>
        <w:t xml:space="preserve">Referring to Figure 7, the system persists adapter outputs into</w:t>
      </w:r>
      <w:r>
        <w:t xml:space="preserve"> </w:t>
      </w:r>
      <w:r>
        <w:t xml:space="preserve">a write-once raw-evidence storage tier (the "Raw Zone"). In a</w:t>
      </w:r>
      <w:r>
        <w:t xml:space="preserve"> </w:t>
      </w:r>
      <w:r>
        <w:t xml:space="preserve">preferred embodiment, the Raw Zone is laid out as:</w:t>
      </w:r>
    </w:p>
    <w:p>
      <w:pPr>
        <w:pStyle w:val="SourceCode"/>
      </w:pPr>
      <w:r>
        <w:rPr>
          <w:rStyle w:val="VerbatimChar"/>
        </w:rPr>
        <w:t xml:space="preserve">&lt;lake_root&gt;/&lt;adapter_id&gt;/&lt;run_id&gt;/&lt;artifacts&gt;</w:t>
      </w:r>
    </w:p>
    <w:p>
      <w:pPr>
        <w:pStyle w:val="FirstParagraph"/>
      </w:pPr>
      <w:r>
        <w:t xml:space="preserve">The Raw Zone enforces the following invariants: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silent drops.</w:t>
      </w:r>
      <w:r>
        <w:t xml:space="preserve"> </w:t>
      </w:r>
      <w:r>
        <w:t xml:space="preserve">Every artifact emitted by an adapter is</w:t>
      </w:r>
      <w:r>
        <w:t xml:space="preserve"> </w:t>
      </w:r>
      <w:r>
        <w:t xml:space="preserve">recorded; the pipeline does not discard rows.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Write-once semantics.</w:t>
      </w:r>
      <w:r>
        <w:t xml:space="preserve"> </w:t>
      </w:r>
      <w:r>
        <w:t xml:space="preserve">Any attempt to modify, overwrite,</w:t>
      </w:r>
      <w:r>
        <w:t xml:space="preserve"> </w:t>
      </w:r>
      <w:r>
        <w:t xml:space="preserve">or delete an archived run raises a</w:t>
      </w:r>
      <w:r>
        <w:t xml:space="preserve"> </w:t>
      </w:r>
      <w:r>
        <w:rPr>
          <w:rStyle w:val="VerbatimChar"/>
        </w:rPr>
        <w:t xml:space="preserve">RawZoneViolation</w:t>
      </w:r>
      <w:r>
        <w:t xml:space="preserve"> </w:t>
      </w:r>
      <w:r>
        <w:t xml:space="preserve">exception at the storage layer. Corrections are appended as</w:t>
      </w:r>
      <w:r>
        <w:t xml:space="preserve"> </w:t>
      </w:r>
      <w:r>
        <w:t xml:space="preserve">new runs, never applied in place.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Ordered sequence.</w:t>
      </w:r>
      <w:r>
        <w:t xml:space="preserve"> </w:t>
      </w:r>
      <w:r>
        <w:t xml:space="preserve">Runs are ordered by a combination of</w:t>
      </w:r>
      <w:r>
        <w:t xml:space="preserve"> </w:t>
      </w:r>
      <w:r>
        <w:t xml:space="preserve">monotonic timestamp and a tie-breaking sequence number,</w:t>
      </w:r>
      <w:r>
        <w:t xml:space="preserve"> </w:t>
      </w:r>
      <w:r>
        <w:t xml:space="preserve">permitting deterministic replay.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Content integrity.</w:t>
      </w:r>
      <w:r>
        <w:t xml:space="preserve"> </w:t>
      </w:r>
      <w:r>
        <w:t xml:space="preserve">Each artifact is bound to the</w:t>
      </w:r>
      <w:r>
        <w:t xml:space="preserve"> </w:t>
      </w:r>
      <w:r>
        <w:t xml:space="preserve">per-claim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and per-mapping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 </w:t>
      </w:r>
      <w:r>
        <w:t xml:space="preserve">computed in the pipeline, providing tamper-evidence under</w:t>
      </w:r>
      <w:r>
        <w:t xml:space="preserve"> </w:t>
      </w:r>
      <w:r>
        <w:t xml:space="preserve">the SHA-256 collision-resistance assumption.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Idempotent writes.</w:t>
      </w:r>
      <w:r>
        <w:t xml:space="preserve"> </w:t>
      </w:r>
      <w:r>
        <w:t xml:space="preserve">Duplicate artifacts under the same</w:t>
      </w:r>
      <w:r>
        <w:t xml:space="preserve"> </w:t>
      </w:r>
      <w:r>
        <w:t xml:space="preserve">event identifier are deduplicated rather than rewritten.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Retention policy.</w:t>
      </w:r>
      <w:r>
        <w:t xml:space="preserve"> </w:t>
      </w:r>
      <w:r>
        <w:t xml:space="preserve">Each adapter declares a</w:t>
      </w:r>
      <w:r>
        <w:t xml:space="preserve"> </w:t>
      </w:r>
      <w:r>
        <w:rPr>
          <w:rStyle w:val="VerbatimChar"/>
        </w:rPr>
        <w:t xml:space="preserve">retention-years</w:t>
      </w:r>
      <w:r>
        <w:t xml:space="preserve"> </w:t>
      </w:r>
      <w:r>
        <w:t xml:space="preserve">value; an archive manager component</w:t>
      </w:r>
      <w:r>
        <w:t xml:space="preserve"> </w:t>
      </w:r>
      <w:r>
        <w:t xml:space="preserve">enforces lifecycle expiration in accordance with that</w:t>
      </w:r>
      <w:r>
        <w:t xml:space="preserve"> </w:t>
      </w:r>
      <w:r>
        <w:t xml:space="preserve">policy.</w:t>
      </w:r>
    </w:p>
    <w:p>
      <w:pPr>
        <w:pStyle w:val="FirstParagraph"/>
      </w:pPr>
      <w:r>
        <w:t xml:space="preserve">The Raw Zone backend is pluggable: a filesystem</w:t>
      </w:r>
      <w:r>
        <w:t xml:space="preserve"> </w:t>
      </w:r>
      <w:r>
        <w:t xml:space="preserve">implementation is provided in a preferred embodiment, with</w:t>
      </w:r>
      <w:r>
        <w:t xml:space="preserve"> </w:t>
      </w:r>
      <w:r>
        <w:t xml:space="preserve">object-store backends (for example, blob storage or S3-API</w:t>
      </w:r>
      <w:r>
        <w:t xml:space="preserve"> </w:t>
      </w:r>
      <w:r>
        <w:t xml:space="preserve">compatible stores) contemplated as alternative embodiments.</w:t>
      </w:r>
    </w:p>
    <w:bookmarkEnd w:id="35"/>
    <w:bookmarkStart w:id="36" w:name="X7530e477733c1205f64b036607e7d6539198079"/>
    <w:p>
      <w:pPr>
        <w:pStyle w:val="Heading4"/>
      </w:pPr>
      <w:r>
        <w:t xml:space="preserve">7. The Validation Engine</w:t>
      </w:r>
    </w:p>
    <w:p>
      <w:pPr>
        <w:pStyle w:val="FirstParagraph"/>
      </w:pPr>
      <w:r>
        <w:t xml:space="preserve">A validation engine consumes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instances from</w:t>
      </w:r>
      <w:r>
        <w:t xml:space="preserve"> </w:t>
      </w:r>
      <w:r>
        <w:t xml:space="preserve">the Raw Zone and evaluates them against named governance</w:t>
      </w:r>
      <w:r>
        <w:t xml:space="preserve"> </w:t>
      </w:r>
      <w:r>
        <w:t xml:space="preserve">indicators. In a preferred embodiment the engine emits a</w:t>
      </w:r>
      <w:r>
        <w:t xml:space="preserve"> </w:t>
      </w:r>
      <w:r>
        <w:rPr>
          <w:rStyle w:val="VerbatimChar"/>
        </w:rPr>
        <w:t xml:space="preserve">ValidationResult</w:t>
      </w:r>
      <w:r>
        <w:t xml:space="preserve"> </w:t>
      </w:r>
      <w:r>
        <w:t xml:space="preserve">with the following structure: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evidence</w:t>
      </w:r>
      <w:r>
        <w:t xml:space="preserve"> </w:t>
      </w:r>
      <w:r>
        <w:t xml:space="preserve">— the evaluated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reference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drift_indicators</w:t>
      </w:r>
      <w:r>
        <w:t xml:space="preserve"> </w:t>
      </w:r>
      <w:r>
        <w:t xml:space="preserve">— a typed list of drift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DRIFT-IDENTITY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freshness_valid</w:t>
      </w:r>
      <w:r>
        <w:t xml:space="preserve"> </w:t>
      </w:r>
      <w:r>
        <w:t xml:space="preserve">— boolean derived by comparing the</w:t>
      </w:r>
      <w:r>
        <w:t xml:space="preserve"> </w:t>
      </w:r>
      <w:r>
        <w:t xml:space="preserve">evidence timestamp against the adapter's declared</w:t>
      </w:r>
      <w:r>
        <w:t xml:space="preserve"> </w:t>
      </w:r>
      <w:r>
        <w:rPr>
          <w:rStyle w:val="VerbatimChar"/>
        </w:rPr>
        <w:t xml:space="preserve">freshness-window-hours</w:t>
      </w:r>
      <w:r>
        <w:t xml:space="preserve"> </w:t>
      </w:r>
      <w:r>
        <w:t xml:space="preserve">(ranging in preferred embodiments</w:t>
      </w:r>
      <w:r>
        <w:t xml:space="preserve"> </w:t>
      </w:r>
      <w:r>
        <w:t xml:space="preserve">from a single hour to thirty or more days, with a</w:t>
      </w:r>
      <w:r>
        <w:t xml:space="preserve"> </w:t>
      </w:r>
      <w:r>
        <w:t xml:space="preserve">family-default fallback)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is emitted when evidence is otherwise</w:t>
      </w:r>
      <w:r>
        <w:t xml:space="preserve"> </w:t>
      </w:r>
      <w:r>
        <w:t xml:space="preserve">well-formed but the freshness window has elapsed; this state</w:t>
      </w:r>
      <w:r>
        <w:t xml:space="preserve"> </w:t>
      </w:r>
      <w:r>
        <w:t xml:space="preserve">is distinguished from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(substantive non-compliance)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(pipeline malfunction), which permits downstream</w:t>
      </w:r>
      <w:r>
        <w:t xml:space="preserve"> </w:t>
      </w:r>
      <w:r>
        <w:t xml:space="preserve">remediation logic to discriminate between collection failures</w:t>
      </w:r>
      <w:r>
        <w:t xml:space="preserve"> </w:t>
      </w:r>
      <w:r>
        <w:t xml:space="preserve">and substantive governance regressions.</w:t>
      </w:r>
    </w:p>
    <w:bookmarkEnd w:id="36"/>
    <w:bookmarkStart w:id="37" w:name="X9641d568c6e6b5ed8f868df2aeba96f66658529"/>
    <w:p>
      <w:pPr>
        <w:pStyle w:val="Heading4"/>
      </w:pPr>
      <w:r>
        <w:t xml:space="preserve">8. The Multi-Plane Orchestrator</w:t>
      </w:r>
    </w:p>
    <w:p>
      <w:pPr>
        <w:pStyle w:val="FirstParagraph"/>
      </w:pPr>
      <w:r>
        <w:t xml:space="preserve">The orchestrator coordinates the transformation of governance</w:t>
      </w:r>
      <w:r>
        <w:t xml:space="preserve"> </w:t>
      </w:r>
      <w:r>
        <w:t xml:space="preserve">data through a plurality of compliance planes. In a preferred</w:t>
      </w:r>
      <w:r>
        <w:t xml:space="preserve"> </w:t>
      </w:r>
      <w:r>
        <w:t xml:space="preserve">embodiment, four planes are implemented: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Plane 1</w:t>
      </w:r>
      <w:r>
        <w:t xml:space="preserve"> </w:t>
      </w:r>
      <w:r>
        <w:t xml:space="preserve">transforms upstream policy findings (for</w:t>
      </w:r>
      <w:r>
        <w:t xml:space="preserve"> </w:t>
      </w:r>
      <w:r>
        <w:t xml:space="preserve">example, automated security-baseline assessment output) into</w:t>
      </w:r>
      <w:r>
        <w:t xml:space="preserve"> </w:t>
      </w:r>
      <w:r>
        <w:t xml:space="preserve">an intermediate representation.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Plane 2</w:t>
      </w:r>
      <w:r>
        <w:t xml:space="preserve"> </w:t>
      </w:r>
      <w:r>
        <w:t xml:space="preserve">evaluates the intermediate representation against</w:t>
      </w:r>
      <w:r>
        <w:t xml:space="preserve"> </w:t>
      </w:r>
      <w:r>
        <w:t xml:space="preserve">named governance indicators, producing per-indicator</w:t>
      </w:r>
      <w:r>
        <w:t xml:space="preserve"> </w:t>
      </w:r>
      <w:r>
        <w:t xml:space="preserve">pass/fail/stale 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Plane 3</w:t>
      </w:r>
      <w:r>
        <w:t xml:space="preserve"> </w:t>
      </w:r>
      <w:r>
        <w:t xml:space="preserve">builds an evidence bundle keyed by indicator,</w:t>
      </w:r>
      <w:r>
        <w:t xml:space="preserve"> </w:t>
      </w:r>
      <w:r>
        <w:t xml:space="preserve">joining indicator results to underlying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records.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Plane 4</w:t>
      </w:r>
      <w:r>
        <w:t xml:space="preserve"> </w:t>
      </w:r>
      <w:r>
        <w:t xml:space="preserve">exports the evidence bundle into one or more</w:t>
      </w:r>
      <w:r>
        <w:t xml:space="preserve"> </w:t>
      </w:r>
      <w:r>
        <w:t xml:space="preserve">standardized control-catalog formats (for example, OSCAL</w:t>
      </w:r>
      <w:r>
        <w:t xml:space="preserve"> </w:t>
      </w:r>
      <w:r>
        <w:t xml:space="preserve">artifacts including system security plans and plans of action</w:t>
      </w:r>
      <w:r>
        <w:t xml:space="preserve"> </w:t>
      </w:r>
      <w:r>
        <w:t xml:space="preserve">and milestones).</w:t>
      </w:r>
    </w:p>
    <w:p>
      <w:pPr>
        <w:pStyle w:val="FirstParagraph"/>
      </w:pPr>
      <w:r>
        <w:t xml:space="preserve">Each plane is feature-flagged for selective enable/disable per</w:t>
      </w:r>
      <w:r>
        <w:t xml:space="preserve"> </w:t>
      </w:r>
      <w:r>
        <w:t xml:space="preserve">environment or tenant, writes to per-run isolated output</w:t>
      </w:r>
      <w:r>
        <w:t xml:space="preserve"> </w:t>
      </w:r>
      <w:r>
        <w:t xml:space="preserve">directories, emits structured logs to both standard error and</w:t>
      </w:r>
      <w:r>
        <w:t xml:space="preserve"> </w:t>
      </w:r>
      <w:r>
        <w:t xml:space="preserve">a run-specific log file, and supports a dry-run mode in which</w:t>
      </w:r>
      <w:r>
        <w:t xml:space="preserve"> </w:t>
      </w:r>
      <w:r>
        <w:t xml:space="preserve">side effects are suppressed.</w:t>
      </w:r>
    </w:p>
    <w:bookmarkEnd w:id="37"/>
    <w:bookmarkStart w:id="38" w:name="X050b6f64bc645245b3eb5bcf635870f08733d02"/>
    <w:p>
      <w:pPr>
        <w:pStyle w:val="Heading4"/>
      </w:pPr>
      <w:r>
        <w:t xml:space="preserve">9. The Migration Pipeline (Five-Stage Process)</w:t>
      </w:r>
    </w:p>
    <w:p>
      <w:pPr>
        <w:pStyle w:val="FirstParagraph"/>
      </w:pPr>
      <w:r>
        <w:t xml:space="preserve">Referring to Figure 6, the invention contemplates a five-stage</w:t>
      </w:r>
      <w:r>
        <w:t xml:space="preserve"> </w:t>
      </w:r>
      <w:r>
        <w:t xml:space="preserve">migration pipeline composed of the foregoing components: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Discover.</w:t>
      </w:r>
      <w:r>
        <w:t xml:space="preserve"> </w:t>
      </w:r>
      <w:r>
        <w:t xml:space="preserve">Each adapter executes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discover_schema()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execute_query()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to produce a canonical claim set describing the current</w:t>
      </w:r>
      <w:r>
        <w:t xml:space="preserve"> </w:t>
      </w:r>
      <w:r>
        <w:t xml:space="preserve">governance state. Discovery is read-only.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Normalize.</w:t>
      </w:r>
      <w:r>
        <w:t xml:space="preserve"> </w:t>
      </w:r>
      <w:r>
        <w:t xml:space="preserve">Adapter outputs are reconciled against the</w:t>
      </w:r>
      <w:r>
        <w:t xml:space="preserve"> </w:t>
      </w:r>
      <w:r>
        <w:t xml:space="preserve">canonical schema and any organic on-premises divergence is</w:t>
      </w:r>
      <w:r>
        <w:t xml:space="preserve"> </w:t>
      </w:r>
      <w:r>
        <w:t xml:space="preserve">rationalized into a normalized governance graph.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Map.</w:t>
      </w:r>
      <w:r>
        <w:t xml:space="preserve"> </w:t>
      </w:r>
      <w:r>
        <w:t xml:space="preserve">Source-side governance constructs (for example,</w:t>
      </w:r>
      <w:r>
        <w:t xml:space="preserve"> </w:t>
      </w:r>
      <w:r>
        <w:t xml:space="preserve">distinguished-name based identities, group-policy targeting</w:t>
      </w:r>
      <w:r>
        <w:t xml:space="preserve"> </w:t>
      </w:r>
      <w:r>
        <w:t xml:space="preserve">expressions, certificate-template auto-enrollment rules)</w:t>
      </w:r>
      <w:r>
        <w:t xml:space="preserve"> </w:t>
      </w:r>
      <w:r>
        <w:t xml:space="preserve">are mapped to cloud-target equivalents (for example,</w:t>
      </w:r>
      <w:r>
        <w:t xml:space="preserve"> </w:t>
      </w:r>
      <w:r>
        <w:t xml:space="preserve">directory-services identities, configuration-management</w:t>
      </w:r>
      <w:r>
        <w:t xml:space="preserve"> </w:t>
      </w:r>
      <w:r>
        <w:t xml:space="preserve">profiles, certificate-based authentication policies).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Migrate.</w:t>
      </w:r>
      <w:r>
        <w:t xml:space="preserve"> </w:t>
      </w:r>
      <w:r>
        <w:t xml:space="preserve">Modernization-class adapters apply the mapped</w:t>
      </w:r>
      <w:r>
        <w:t xml:space="preserve"> </w:t>
      </w:r>
      <w:r>
        <w:t xml:space="preserve">state to the cloud target, with each mutation accompanied</w:t>
      </w:r>
      <w:r>
        <w:t xml:space="preserve"> </w:t>
      </w:r>
      <w:r>
        <w:t xml:space="preserve">by an</w:t>
      </w:r>
      <w:r>
        <w:t xml:space="preserve"> </w:t>
      </w:r>
      <w:r>
        <w:rPr>
          <w:rStyle w:val="VerbatimChar"/>
        </w:rPr>
        <w:t xml:space="preserve">EvidenceObject</w:t>
      </w:r>
      <w:r>
        <w:t xml:space="preserve"> </w:t>
      </w:r>
      <w:r>
        <w:t xml:space="preserve">recorded to the Raw Zone.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Validate.</w:t>
      </w:r>
      <w:r>
        <w:t xml:space="preserve"> </w:t>
      </w:r>
      <w:r>
        <w:t xml:space="preserve">The validation engine evaluates post-migration</w:t>
      </w:r>
      <w:r>
        <w:t xml:space="preserve"> </w:t>
      </w:r>
      <w:r>
        <w:t xml:space="preserve">evidence against indicators and freshness windows, emitting</w:t>
      </w:r>
      <w:r>
        <w:t xml:space="preserve"> </w:t>
      </w:r>
      <w:r>
        <w:rPr>
          <w:rStyle w:val="VerbatimChar"/>
        </w:rPr>
        <w:t xml:space="preserve">ValidationResult</w:t>
      </w:r>
      <w:r>
        <w:t xml:space="preserve"> </w:t>
      </w:r>
      <w:r>
        <w:t xml:space="preserve">records that constitute the governance-</w:t>
      </w:r>
      <w:r>
        <w:t xml:space="preserve"> </w:t>
      </w:r>
      <w:r>
        <w:t xml:space="preserve">continuity attestation.</w:t>
      </w:r>
    </w:p>
    <w:p>
      <w:pPr>
        <w:pStyle w:val="FirstParagraph"/>
      </w:pPr>
      <w:r>
        <w:t xml:space="preserve">Each stage is gated: progression from one stage to the next</w:t>
      </w:r>
      <w:r>
        <w:t xml:space="preserve"> </w:t>
      </w:r>
      <w:r>
        <w:t xml:space="preserve">requires that prior-stage evidence is present in the Raw Zone,</w:t>
      </w:r>
      <w:r>
        <w:t xml:space="preserve"> </w:t>
      </w:r>
      <w:r>
        <w:t xml:space="preserve">is fresh, and validates to</w:t>
      </w:r>
      <w:r>
        <w:t xml:space="preserve"> </w:t>
      </w:r>
      <w:r>
        <w:rPr>
          <w:rStyle w:val="VerbatimChar"/>
        </w:rPr>
        <w:t xml:space="preserve">status: pass</w:t>
      </w:r>
      <w:r>
        <w:t xml:space="preserve">.</w:t>
      </w:r>
    </w:p>
    <w:bookmarkEnd w:id="38"/>
    <w:bookmarkStart w:id="39" w:name="X1a5f0ef9b266df97f57472d2060b22c55981467"/>
    <w:p>
      <w:pPr>
        <w:pStyle w:val="Heading4"/>
      </w:pPr>
      <w:r>
        <w:t xml:space="preserve">10. Architectural Invariants (Eight Core Concepts)</w:t>
      </w:r>
    </w:p>
    <w:p>
      <w:pPr>
        <w:pStyle w:val="FirstParagraph"/>
      </w:pPr>
      <w:r>
        <w:t xml:space="preserve">In a preferred embodiment, the invention is governed by eight</w:t>
      </w:r>
      <w:r>
        <w:t xml:space="preserve"> </w:t>
      </w:r>
      <w:r>
        <w:t xml:space="preserve">named architectural invariants which together distinguish it</w:t>
      </w:r>
      <w:r>
        <w:t xml:space="preserve"> </w:t>
      </w:r>
      <w:r>
        <w:t xml:space="preserve">from prior-art migration tooling: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Single source of truth.</w:t>
      </w:r>
      <w:r>
        <w:t xml:space="preserve"> </w:t>
      </w:r>
      <w:r>
        <w:t xml:space="preserve">Every governance claim has</w:t>
      </w:r>
      <w:r>
        <w:t xml:space="preserve"> </w:t>
      </w:r>
      <w:r>
        <w:t xml:space="preserve">exactly one authoritative origin; all other references are</w:t>
      </w:r>
      <w:r>
        <w:t xml:space="preserve"> </w:t>
      </w:r>
      <w:r>
        <w:t xml:space="preserve">pointers, not duplicates.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Conversation as atomic unit.</w:t>
      </w:r>
      <w:r>
        <w:t xml:space="preserve"> </w:t>
      </w:r>
      <w:r>
        <w:t xml:space="preserve">Each session binds, in a</w:t>
      </w:r>
      <w:r>
        <w:t xml:space="preserve"> </w:t>
      </w:r>
      <w:r>
        <w:t xml:space="preserve">single envelope, identity, certificate state, addressing,</w:t>
      </w:r>
      <w:r>
        <w:t xml:space="preserve"> </w:t>
      </w:r>
      <w:r>
        <w:t xml:space="preserve">network path, quality-of-service, and telemetry.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Identity as root namespace.</w:t>
      </w:r>
      <w:r>
        <w:t xml:space="preserve"> </w:t>
      </w:r>
      <w:r>
        <w:t xml:space="preserve">Every derived</w:t>
      </w:r>
      <w:r>
        <w:t xml:space="preserve"> </w:t>
      </w:r>
      <w:r>
        <w:t xml:space="preserve">resource — addresses, certificates, subnets, policies,</w:t>
      </w:r>
      <w:r>
        <w:t xml:space="preserve"> </w:t>
      </w:r>
      <w:r>
        <w:t xml:space="preserve">telemetry — is rooted in identity rather than in</w:t>
      </w:r>
      <w:r>
        <w:t xml:space="preserve"> </w:t>
      </w:r>
      <w:r>
        <w:t xml:space="preserve">network location.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Deterministic addressing.</w:t>
      </w:r>
      <w:r>
        <w:t xml:space="preserve"> </w:t>
      </w:r>
      <w:r>
        <w:t xml:space="preserve">Addressing is identity-</w:t>
      </w:r>
      <w:r>
        <w:t xml:space="preserve"> </w:t>
      </w:r>
      <w:r>
        <w:t xml:space="preserve">derived and policy-driven, not assigned by side-band</w:t>
      </w:r>
      <w:r>
        <w:t xml:space="preserve"> </w:t>
      </w:r>
      <w:r>
        <w:t xml:space="preserve">procedure.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Certificate-anchored overlay.</w:t>
      </w:r>
      <w:r>
        <w:t xml:space="preserve"> </w:t>
      </w:r>
      <w:r>
        <w:t xml:space="preserve">Trust between services</w:t>
      </w:r>
      <w:r>
        <w:t xml:space="preserve"> </w:t>
      </w:r>
      <w:r>
        <w:t xml:space="preserve">is anchored in mutually authenticated TLS rather than in</w:t>
      </w:r>
      <w:r>
        <w:t xml:space="preserve"> </w:t>
      </w:r>
      <w:r>
        <w:t xml:space="preserve">network position.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Telemetry as control.</w:t>
      </w:r>
      <w:r>
        <w:t xml:space="preserve"> </w:t>
      </w:r>
      <w:r>
        <w:t xml:space="preserve">Real-time telemetry is consumed</w:t>
      </w:r>
      <w:r>
        <w:t xml:space="preserve"> </w:t>
      </w:r>
      <w:r>
        <w:t xml:space="preserve">as a control input to orchestration, not solely as a</w:t>
      </w:r>
      <w:r>
        <w:t xml:space="preserve"> </w:t>
      </w:r>
      <w:r>
        <w:t xml:space="preserve">passive reporting channel.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Embedded governance.</w:t>
      </w:r>
      <w:r>
        <w:t xml:space="preserve"> </w:t>
      </w:r>
      <w:r>
        <w:t xml:space="preserve">Workflows are orchestrated</w:t>
      </w:r>
      <w:r>
        <w:t xml:space="preserve"> </w:t>
      </w:r>
      <w:r>
        <w:t xml:space="preserve">programmatically against the registry, rather than</w:t>
      </w:r>
      <w:r>
        <w:t xml:space="preserve"> </w:t>
      </w:r>
      <w:r>
        <w:t xml:space="preserve">actuated through human ticketing.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User-experience continuity.</w:t>
      </w:r>
      <w:r>
        <w:t xml:space="preserve"> </w:t>
      </w:r>
      <w:r>
        <w:t xml:space="preserve">Migration is invisible to</w:t>
      </w:r>
      <w:r>
        <w:t xml:space="preserve"> </w:t>
      </w:r>
      <w:r>
        <w:t xml:space="preserve">the end user when governance is reconstructed correctly.</w:t>
      </w:r>
    </w:p>
    <w:p>
      <w:pPr>
        <w:pStyle w:val="FirstParagraph"/>
      </w:pPr>
      <w:r>
        <w:t xml:space="preserve">Each adapter's registry entry declares which of the eight</w:t>
      </w:r>
      <w:r>
        <w:t xml:space="preserve"> </w:t>
      </w:r>
      <w:r>
        <w:t xml:space="preserve">invariants it implements, enabling registry-level reasoning</w:t>
      </w:r>
      <w:r>
        <w:t xml:space="preserve"> </w:t>
      </w:r>
      <w:r>
        <w:t xml:space="preserve">about governance coverage.</w:t>
      </w:r>
    </w:p>
    <w:bookmarkEnd w:id="39"/>
    <w:bookmarkStart w:id="40" w:name="X9d5e743679698ea50151edda31358d2b43aed7f"/>
    <w:p>
      <w:pPr>
        <w:pStyle w:val="Heading4"/>
      </w:pPr>
      <w:r>
        <w:t xml:space="preserve">11. Eleven Dependency Categories Addressed</w:t>
      </w:r>
    </w:p>
    <w:p>
      <w:pPr>
        <w:pStyle w:val="FirstParagraph"/>
      </w:pPr>
      <w:r>
        <w:t xml:space="preserve">The invention addresses, in a preferred embodiment, the</w:t>
      </w:r>
      <w:r>
        <w:t xml:space="preserve"> </w:t>
      </w:r>
      <w:r>
        <w:t xml:space="preserve">following eleven categories of on-premises directory</w:t>
      </w:r>
      <w:r>
        <w:t xml:space="preserve"> </w:t>
      </w:r>
      <w:r>
        <w:t xml:space="preserve">dependency, each mapped to the adapter family responsible</w:t>
      </w:r>
      <w:r>
        <w:t xml:space="preserve"> </w:t>
      </w:r>
      <w:r>
        <w:t xml:space="preserve">for reconstructing its governance in the cloud target: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 Without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/ 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accounts; privilege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identity-modernization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Computers /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Unmanaged endpoints; missing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service outages; lost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sprawl; lost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identity-modernization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Policy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drift; inconsistent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/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Name-resolution failure; split-brain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 /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certificate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/ 802.1X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access failure; VPN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login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SPNs / Kerberos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sign-on breakage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authentication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(architectural)</w:t>
            </w:r>
          </w:p>
        </w:tc>
      </w:tr>
    </w:tbl>
    <w:bookmarkEnd w:id="40"/>
    <w:bookmarkStart w:id="41" w:name="X6eb83c62e44fcef0f6d48bd22a36ec3d9ad97e9"/>
    <w:p>
      <w:pPr>
        <w:pStyle w:val="Heading4"/>
      </w:pPr>
      <w:r>
        <w:t xml:space="preserve">12. Alternative Embodiments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 storage backends.</w:t>
      </w:r>
      <w:r>
        <w:t xml:space="preserve"> </w:t>
      </w:r>
      <w:r>
        <w:t xml:space="preserve">While a filesystem</w:t>
      </w:r>
      <w:r>
        <w:t xml:space="preserve"> </w:t>
      </w:r>
      <w:r>
        <w:t xml:space="preserve">embodiment of the Raw Zone is preferred for clarity, the</w:t>
      </w:r>
      <w:r>
        <w:t xml:space="preserve"> </w:t>
      </w:r>
      <w:r>
        <w:t xml:space="preserve">invention contemplates object-store backends, content-</w:t>
      </w:r>
      <w:r>
        <w:t xml:space="preserve"> </w:t>
      </w:r>
      <w:r>
        <w:t xml:space="preserve">addressable backends, and append-only ledger backends with</w:t>
      </w:r>
      <w:r>
        <w:t xml:space="preserve"> </w:t>
      </w:r>
      <w:r>
        <w:t xml:space="preserve">equivalent write-once enforcement.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 hash functions.</w:t>
      </w:r>
      <w:r>
        <w:t xml:space="preserve"> </w:t>
      </w:r>
      <w:r>
        <w:t xml:space="preserve">SHA-256 is preferred for</w:t>
      </w:r>
      <w:r>
        <w:t xml:space="preserve"> </w:t>
      </w:r>
      <w:r>
        <w:t xml:space="preserve">provenance hashing; the invention contemplates equivalent</w:t>
      </w:r>
      <w:r>
        <w:t xml:space="preserve"> </w:t>
      </w:r>
      <w:r>
        <w:t xml:space="preserve">collision-resistant hashes (for example, SHA-3 or</w:t>
      </w:r>
      <w:r>
        <w:t xml:space="preserve"> </w:t>
      </w:r>
      <w:r>
        <w:t xml:space="preserve">BLAKE3).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 registry serializations.</w:t>
      </w:r>
      <w:r>
        <w:t xml:space="preserve"> </w:t>
      </w:r>
      <w:r>
        <w:t xml:space="preserve">YAML is preferred</w:t>
      </w:r>
      <w:r>
        <w:t xml:space="preserve"> </w:t>
      </w:r>
      <w:r>
        <w:t xml:space="preserve">for human-editability; the invention contemplates JSON,</w:t>
      </w:r>
      <w:r>
        <w:t xml:space="preserve"> </w:t>
      </w:r>
      <w:r>
        <w:t xml:space="preserve">TOML, and binary serializations of the same schema.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 cloud targets.</w:t>
      </w:r>
      <w:r>
        <w:t xml:space="preserve"> </w:t>
      </w:r>
      <w:r>
        <w:t xml:space="preserve">While the preferred</w:t>
      </w:r>
      <w:r>
        <w:t xml:space="preserve"> </w:t>
      </w:r>
      <w:r>
        <w:t xml:space="preserve">embodiment targets a particular cloud identity platform</w:t>
      </w:r>
      <w:r>
        <w:t xml:space="preserve"> </w:t>
      </w:r>
      <w:r>
        <w:t xml:space="preserve">(Microsoft Entra ID and associated services), the</w:t>
      </w:r>
      <w:r>
        <w:t xml:space="preserve"> </w:t>
      </w:r>
      <w:r>
        <w:t xml:space="preserve">vendor-agnostic adapter contract permits embodiments</w:t>
      </w:r>
      <w:r>
        <w:t xml:space="preserve"> </w:t>
      </w:r>
      <w:r>
        <w:t xml:space="preserve">targeting other cloud identity platforms.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 orchestrator topologies.</w:t>
      </w:r>
      <w:r>
        <w:t xml:space="preserve"> </w:t>
      </w:r>
      <w:r>
        <w:t xml:space="preserve">The preferred</w:t>
      </w:r>
      <w:r>
        <w:t xml:space="preserve"> </w:t>
      </w:r>
      <w:r>
        <w:t xml:space="preserve">embodiment uses a four-plane orchestrator; alternative</w:t>
      </w:r>
      <w:r>
        <w:t xml:space="preserve"> </w:t>
      </w:r>
      <w:r>
        <w:t xml:space="preserve">embodiments contemplate fewer or additional planes,</w:t>
      </w:r>
      <w:r>
        <w:t xml:space="preserve"> </w:t>
      </w:r>
      <w:r>
        <w:t xml:space="preserve">including a federated multi-tenant variant.</w:t>
      </w:r>
    </w:p>
    <w:bookmarkEnd w:id="41"/>
    <w:bookmarkEnd w:id="42"/>
    <w:bookmarkStart w:id="43" w:name="industrial-applicability"/>
    <w:p>
      <w:pPr>
        <w:pStyle w:val="Heading3"/>
      </w:pPr>
      <w:r>
        <w:t xml:space="preserve">Industrial Applicability</w:t>
      </w:r>
    </w:p>
    <w:p>
      <w:pPr>
        <w:pStyle w:val="FirstParagraph"/>
      </w:pPr>
      <w:r>
        <w:t xml:space="preserve">The invention is industrially applicable to enterprises and</w:t>
      </w:r>
      <w:r>
        <w:t xml:space="preserve"> </w:t>
      </w:r>
      <w:r>
        <w:t xml:space="preserve">public-sector entities migrating from on-premises directory</w:t>
      </w:r>
      <w:r>
        <w:t xml:space="preserve"> </w:t>
      </w:r>
      <w:r>
        <w:t xml:space="preserve">infrastructure to cloud identity platforms. It enables such</w:t>
      </w:r>
      <w:r>
        <w:t xml:space="preserve"> </w:t>
      </w:r>
      <w:r>
        <w:t xml:space="preserve">migrations to be conducted with governance continuity,</w:t>
      </w:r>
      <w:r>
        <w:t xml:space="preserve"> </w:t>
      </w:r>
      <w:r>
        <w:t xml:space="preserve">auditable provenance, and post-migration validation that the</w:t>
      </w:r>
      <w:r>
        <w:t xml:space="preserve"> </w:t>
      </w:r>
      <w:r>
        <w:t xml:space="preserve">governance posture has been preserved.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bb2150ded5dc15f3d1d21ce39b0a9ba2f2f28ac"/>
    <w:p>
      <w:pPr>
        <w:pStyle w:val="Heading2"/>
      </w:pPr>
      <w:r>
        <w:t xml:space="preserve">Draft Claims (for Anchoring the Non-Provisional)</w:t>
      </w:r>
    </w:p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A provisional application is not required to include</w:t>
      </w:r>
      <w:r>
        <w:t xml:space="preserve"> </w:t>
      </w:r>
      <w:r>
        <w:t xml:space="preserve">claims, and these claims are not examined. They are included</w:t>
      </w:r>
      <w:r>
        <w:t xml:space="preserve"> </w:t>
      </w:r>
      <w:r>
        <w:t xml:space="preserve">here to anchor the scope of the priority date and to focus the</w:t>
      </w:r>
      <w:r>
        <w:t xml:space="preserve"> </w:t>
      </w:r>
      <w:r>
        <w:t xml:space="preserve">non-provisional drafting effort within the twelve-month window.</w:t>
      </w:r>
      <w:r>
        <w:t xml:space="preserve"> </w:t>
      </w:r>
      <w:r>
        <w:t xml:space="preserve">Counsel should refine before non-provisional filing.</w:t>
      </w:r>
    </w:p>
    <w:bookmarkStart w:id="45" w:name="independent-claims"/>
    <w:p>
      <w:pPr>
        <w:pStyle w:val="Heading3"/>
      </w:pPr>
      <w:r>
        <w:t xml:space="preserve">Independent Claims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 computer-implemented system for migrating governance</w:t>
      </w:r>
      <w:r>
        <w:t xml:space="preserve"> </w:t>
      </w:r>
      <w:r>
        <w:t xml:space="preserve">state from an on-premises directory service to a cloud identity</w:t>
      </w:r>
      <w:r>
        <w:t xml:space="preserve"> </w:t>
      </w:r>
      <w:r>
        <w:t xml:space="preserve">platform, the system comprising:</w:t>
      </w:r>
    </w:p>
    <w:p>
      <w:pPr>
        <w:numPr>
          <w:ilvl w:val="0"/>
          <w:numId w:val="1014"/>
        </w:numPr>
        <w:pStyle w:val="Compact"/>
      </w:pPr>
      <w:r>
        <w:t xml:space="preserve">a plurality of adapter modules, each adapter module</w:t>
      </w:r>
      <w:r>
        <w:t xml:space="preserve"> </w:t>
      </w:r>
      <w:r>
        <w:t xml:space="preserve">conforming to a vendor-agnostic adapter contract enforcing</w:t>
      </w:r>
      <w:r>
        <w:t xml:space="preserve"> </w:t>
      </w:r>
      <w:r>
        <w:t xml:space="preserve">seven defined responsibility domains, said domains</w:t>
      </w:r>
      <w:r>
        <w:t xml:space="preserve"> </w:t>
      </w:r>
      <w:r>
        <w:t xml:space="preserve">comprising connection and identity, schema discovery and</w:t>
      </w:r>
      <w:r>
        <w:t xml:space="preserve"> </w:t>
      </w:r>
      <w:r>
        <w:t xml:space="preserve">canonical mapping, query normalization and deterministic</w:t>
      </w:r>
      <w:r>
        <w:t xml:space="preserve"> </w:t>
      </w:r>
      <w:r>
        <w:t xml:space="preserve">extraction, data normalization and claim construction,</w:t>
      </w:r>
      <w:r>
        <w:t xml:space="preserve"> </w:t>
      </w:r>
      <w:r>
        <w:t xml:space="preserve">drift detection and version integrity, evidence packaging</w:t>
      </w:r>
      <w:r>
        <w:t xml:space="preserve"> </w:t>
      </w:r>
      <w:r>
        <w:t xml:space="preserve">and indicator integration, and security, privacy, and</w:t>
      </w:r>
      <w:r>
        <w:t xml:space="preserve"> </w:t>
      </w:r>
      <w:r>
        <w:t xml:space="preserve">operational controls;</w:t>
      </w:r>
    </w:p>
    <w:p>
      <w:pPr>
        <w:numPr>
          <w:ilvl w:val="0"/>
          <w:numId w:val="1014"/>
        </w:numPr>
        <w:pStyle w:val="Compact"/>
      </w:pPr>
      <w:r>
        <w:t xml:space="preserve">an adapter registry comprising a machine-readable document</w:t>
      </w:r>
      <w:r>
        <w:t xml:space="preserve"> </w:t>
      </w:r>
      <w:r>
        <w:t xml:space="preserve">in which each adapter is declared along an operational axis</w:t>
      </w:r>
      <w:r>
        <w:t xml:space="preserve"> </w:t>
      </w:r>
      <w:r>
        <w:t xml:space="preserve">drawn from the enumeration {modernization, conformance} and</w:t>
      </w:r>
      <w:r>
        <w:t xml:space="preserve"> </w:t>
      </w:r>
      <w:r>
        <w:t xml:space="preserve">along a doctrinal axis drawn from the enumeration</w:t>
      </w:r>
      <w:r>
        <w:t xml:space="preserve"> </w:t>
      </w:r>
      <w:r>
        <w:t xml:space="preserve">{identity, telemetry, policy, enforcement, integration,</w:t>
      </w:r>
      <w:r>
        <w:t xml:space="preserve"> </w:t>
      </w:r>
      <w:r>
        <w:t xml:space="preserve">mixed, unmapped}, said registry being validated against a</w:t>
      </w:r>
      <w:r>
        <w:t xml:space="preserve"> </w:t>
      </w:r>
      <w:r>
        <w:t xml:space="preserve">schema document that enforces required fields, enumerated</w:t>
      </w:r>
      <w:r>
        <w:t xml:space="preserve"> </w:t>
      </w:r>
      <w:r>
        <w:t xml:space="preserve">values, and lifecycle state transitions;</w:t>
      </w:r>
    </w:p>
    <w:p>
      <w:pPr>
        <w:numPr>
          <w:ilvl w:val="0"/>
          <w:numId w:val="1014"/>
        </w:numPr>
        <w:pStyle w:val="Compact"/>
      </w:pPr>
      <w:r>
        <w:t xml:space="preserve">a claim pipeline configured to produce, from outputs of one</w:t>
      </w:r>
      <w:r>
        <w:t xml:space="preserve"> </w:t>
      </w:r>
      <w:r>
        <w:t xml:space="preserve">or more of the adapter modules, a plurality of claim</w:t>
      </w:r>
      <w:r>
        <w:t xml:space="preserve"> </w:t>
      </w:r>
      <w:r>
        <w:t xml:space="preserve">objects, each claim object carrying a cryptographic</w:t>
      </w:r>
      <w:r>
        <w:t xml:space="preserve"> </w:t>
      </w:r>
      <w:r>
        <w:t xml:space="preserve">provenance hash computed over a canonically serialized</w:t>
      </w:r>
      <w:r>
        <w:t xml:space="preserve"> </w:t>
      </w:r>
      <w:r>
        <w:t xml:space="preserve">representation of the claim's content;</w:t>
      </w:r>
    </w:p>
    <w:p>
      <w:pPr>
        <w:numPr>
          <w:ilvl w:val="0"/>
          <w:numId w:val="1014"/>
        </w:numPr>
        <w:pStyle w:val="Compact"/>
      </w:pPr>
      <w:r>
        <w:t xml:space="preserve">a write-once evidence storage tier configured to persist</w:t>
      </w:r>
      <w:r>
        <w:t xml:space="preserve"> </w:t>
      </w:r>
      <w:r>
        <w:t xml:space="preserve">outputs of the claim pipeline under a per-adapter,</w:t>
      </w:r>
      <w:r>
        <w:t xml:space="preserve"> </w:t>
      </w:r>
      <w:r>
        <w:t xml:space="preserve">per-run path and to reject modification of any persisted</w:t>
      </w:r>
      <w:r>
        <w:t xml:space="preserve"> </w:t>
      </w:r>
      <w:r>
        <w:t xml:space="preserve">run by raising a designated exception at the storage</w:t>
      </w:r>
      <w:r>
        <w:t xml:space="preserve"> </w:t>
      </w:r>
      <w:r>
        <w:t xml:space="preserve">layer; and</w:t>
      </w:r>
    </w:p>
    <w:p>
      <w:pPr>
        <w:numPr>
          <w:ilvl w:val="0"/>
          <w:numId w:val="1014"/>
        </w:numPr>
        <w:pStyle w:val="Compact"/>
      </w:pPr>
      <w:r>
        <w:t xml:space="preserve">a validation engine configured to evaluate evidence</w:t>
      </w:r>
      <w:r>
        <w:t xml:space="preserve"> </w:t>
      </w:r>
      <w:r>
        <w:t xml:space="preserve">objects from the storage tier against named governance</w:t>
      </w:r>
      <w:r>
        <w:t xml:space="preserve"> </w:t>
      </w:r>
      <w:r>
        <w:t xml:space="preserve">indicators and against per-adapter freshness windows, and</w:t>
      </w:r>
      <w:r>
        <w:t xml:space="preserve"> </w:t>
      </w:r>
      <w:r>
        <w:t xml:space="preserve">to emit a validation result whose status is drawn from the</w:t>
      </w:r>
      <w:r>
        <w:t xml:space="preserve"> </w:t>
      </w:r>
      <w:r>
        <w:t xml:space="preserve">enumeration {pass, fail, error, stale}.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A computer-implemented method for migrating governance</w:t>
      </w:r>
      <w:r>
        <w:t xml:space="preserve"> </w:t>
      </w:r>
      <w:r>
        <w:t xml:space="preserve">state from an on-premises directory service to a cloud identity</w:t>
      </w:r>
      <w:r>
        <w:t xml:space="preserve"> </w:t>
      </w:r>
      <w:r>
        <w:t xml:space="preserve">platform, the method comprising:</w:t>
      </w:r>
    </w:p>
    <w:p>
      <w:pPr>
        <w:numPr>
          <w:ilvl w:val="0"/>
          <w:numId w:val="1015"/>
        </w:numPr>
        <w:pStyle w:val="Compact"/>
      </w:pPr>
      <w:r>
        <w:t xml:space="preserve">registering, in a machine-validated registry, a plurality</w:t>
      </w:r>
      <w:r>
        <w:t xml:space="preserve"> </w:t>
      </w:r>
      <w:r>
        <w:t xml:space="preserve">of adapter modules along an operational axis and a</w:t>
      </w:r>
      <w:r>
        <w:t xml:space="preserve"> </w:t>
      </w:r>
      <w:r>
        <w:t xml:space="preserve">doctrinal axis;</w:t>
      </w:r>
    </w:p>
    <w:p>
      <w:pPr>
        <w:numPr>
          <w:ilvl w:val="0"/>
          <w:numId w:val="1015"/>
        </w:numPr>
        <w:pStyle w:val="Compact"/>
      </w:pPr>
      <w:r>
        <w:t xml:space="preserve">discovering, by each of the adapter modules, governance</w:t>
      </w:r>
      <w:r>
        <w:t xml:space="preserve"> </w:t>
      </w:r>
      <w:r>
        <w:t xml:space="preserve">state from a source system, and producing a connection</w:t>
      </w:r>
      <w:r>
        <w:t xml:space="preserve"> </w:t>
      </w:r>
      <w:r>
        <w:t xml:space="preserve">provenance envelope, a schema mapping object carrying a</w:t>
      </w:r>
      <w:r>
        <w:t xml:space="preserve"> </w:t>
      </w:r>
      <w:r>
        <w:t xml:space="preserve">version hash, a query provenance envelope, and a claim set</w:t>
      </w:r>
      <w:r>
        <w:t xml:space="preserve"> </w:t>
      </w:r>
      <w:r>
        <w:t xml:space="preserve">in which each claim carries a cryptographic provenance</w:t>
      </w:r>
      <w:r>
        <w:t xml:space="preserve"> </w:t>
      </w:r>
      <w:r>
        <w:t xml:space="preserve">hash;</w:t>
      </w:r>
    </w:p>
    <w:p>
      <w:pPr>
        <w:numPr>
          <w:ilvl w:val="0"/>
          <w:numId w:val="1015"/>
        </w:numPr>
        <w:pStyle w:val="Compact"/>
      </w:pPr>
      <w:r>
        <w:t xml:space="preserve">composing the foregoing into an evidence object keyed to</w:t>
      </w:r>
      <w:r>
        <w:t xml:space="preserve"> </w:t>
      </w:r>
      <w:r>
        <w:t xml:space="preserve">a governance indicator identifier;</w:t>
      </w:r>
    </w:p>
    <w:p>
      <w:pPr>
        <w:numPr>
          <w:ilvl w:val="0"/>
          <w:numId w:val="1015"/>
        </w:numPr>
        <w:pStyle w:val="Compact"/>
      </w:pPr>
      <w:r>
        <w:t xml:space="preserve">persisting the evidence object into a write-once storage</w:t>
      </w:r>
      <w:r>
        <w:t xml:space="preserve"> </w:t>
      </w:r>
      <w:r>
        <w:t xml:space="preserve">tier that rejects modification of persisted runs;</w:t>
      </w:r>
    </w:p>
    <w:p>
      <w:pPr>
        <w:numPr>
          <w:ilvl w:val="0"/>
          <w:numId w:val="1015"/>
        </w:numPr>
        <w:pStyle w:val="Compact"/>
      </w:pPr>
      <w:r>
        <w:t xml:space="preserve">evaluating the persisted evidence object against the</w:t>
      </w:r>
      <w:r>
        <w:t xml:space="preserve"> </w:t>
      </w:r>
      <w:r>
        <w:t xml:space="preserve">governance indicator and against a freshness window</w:t>
      </w:r>
      <w:r>
        <w:t xml:space="preserve"> </w:t>
      </w:r>
      <w:r>
        <w:t xml:space="preserve">declared by the adapter; and</w:t>
      </w:r>
    </w:p>
    <w:p>
      <w:pPr>
        <w:numPr>
          <w:ilvl w:val="0"/>
          <w:numId w:val="1015"/>
        </w:numPr>
        <w:pStyle w:val="Compact"/>
      </w:pPr>
      <w:r>
        <w:t xml:space="preserve">emitting a validation result whose status is drawn from</w:t>
      </w:r>
      <w:r>
        <w:t xml:space="preserve"> </w:t>
      </w:r>
      <w:r>
        <w:t xml:space="preserve">{pass, fail, error, stale}.</w:t>
      </w:r>
    </w:p>
    <w:bookmarkEnd w:id="45"/>
    <w:bookmarkStart w:id="46" w:name="dependent-claims"/>
    <w:p>
      <w:pPr>
        <w:pStyle w:val="Heading3"/>
      </w:pPr>
      <w:r>
        <w:t xml:space="preserve">Dependent Claims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The system of claim 1, wherein the cryptographic</w:t>
      </w:r>
      <w:r>
        <w:t xml:space="preserve"> </w:t>
      </w:r>
      <w:r>
        <w:t xml:space="preserve">provenance hash is computed as a SHA-256 digest over a JSON</w:t>
      </w:r>
      <w:r>
        <w:t xml:space="preserve"> </w:t>
      </w:r>
      <w:r>
        <w:t xml:space="preserve">serialization in which object keys are sorted lexicographically</w:t>
      </w:r>
      <w:r>
        <w:t xml:space="preserve"> </w:t>
      </w:r>
      <w:r>
        <w:t xml:space="preserve">and non-native types are coerced to strings.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The system of claim 1, wherein the operational axis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modernization</w:t>
      </w:r>
      <w:r>
        <w:t xml:space="preserve"> </w:t>
      </w:r>
      <w:r>
        <w:t xml:space="preserve">permits the adapter module to write to a</w:t>
      </w:r>
      <w:r>
        <w:t xml:space="preserve"> </w:t>
      </w:r>
      <w:r>
        <w:t xml:space="preserve">target environment and the operational axis value</w:t>
      </w:r>
      <w:r>
        <w:t xml:space="preserve"> </w:t>
      </w:r>
      <w:r>
        <w:rPr>
          <w:rStyle w:val="VerbatimChar"/>
        </w:rPr>
        <w:t xml:space="preserve">conformance</w:t>
      </w:r>
      <w:r>
        <w:t xml:space="preserve"> </w:t>
      </w:r>
      <w:r>
        <w:t xml:space="preserve">prohibits the adapter module from mutating the</w:t>
      </w:r>
      <w:r>
        <w:t xml:space="preserve"> </w:t>
      </w:r>
      <w:r>
        <w:t xml:space="preserve">target environment.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The system of claim 1, wherein the adapter registry</w:t>
      </w:r>
      <w:r>
        <w:t xml:space="preserve"> </w:t>
      </w:r>
      <w:r>
        <w:t xml:space="preserve">further enforces an identifier-stability invariant under which</w:t>
      </w:r>
      <w:r>
        <w:t xml:space="preserve"> </w:t>
      </w:r>
      <w:r>
        <w:t xml:space="preserve">an adapter identifier, once assigned, is never renamed, and</w:t>
      </w:r>
      <w:r>
        <w:t xml:space="preserve"> </w:t>
      </w:r>
      <w:r>
        <w:t xml:space="preserve">retirement of an adapter is recorded by setting a status field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 </w:t>
      </w:r>
      <w:r>
        <w:t xml:space="preserve">and populating a successor</w:t>
      </w:r>
      <w:r>
        <w:t xml:space="preserve"> </w:t>
      </w:r>
      <w:r>
        <w:t xml:space="preserve">identifier field.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The system of claim 1, wherein the write-once evidence</w:t>
      </w:r>
      <w:r>
        <w:t xml:space="preserve"> </w:t>
      </w:r>
      <w:r>
        <w:t xml:space="preserve">storage tier is laid out as</w:t>
      </w:r>
      <w:r>
        <w:t xml:space="preserve"> </w:t>
      </w:r>
      <w:r>
        <w:rPr>
          <w:rStyle w:val="VerbatimChar"/>
        </w:rPr>
        <w:t xml:space="preserve">&lt;root&gt;/&lt;adapter_id&gt;/&lt;run_id&gt;/</w:t>
      </w:r>
      <w:r>
        <w:t xml:space="preserve"> </w:t>
      </w:r>
      <w:r>
        <w:t xml:space="preserve">and</w:t>
      </w:r>
      <w:r>
        <w:t xml:space="preserve"> </w:t>
      </w:r>
      <w:r>
        <w:t xml:space="preserve">attempts to modify, overwrite, or delete an existing</w:t>
      </w:r>
      <w:r>
        <w:t xml:space="preserve"> </w:t>
      </w:r>
      <w:r>
        <w:rPr>
          <w:rStyle w:val="VerbatimChar"/>
        </w:rPr>
        <w:t xml:space="preserve">&lt;run_id&gt;</w:t>
      </w:r>
      <w:r>
        <w:t xml:space="preserve"> </w:t>
      </w:r>
      <w:r>
        <w:t xml:space="preserve">directory cause the storage tier to raise a</w:t>
      </w:r>
      <w:r>
        <w:t xml:space="preserve"> </w:t>
      </w:r>
      <w:r>
        <w:rPr>
          <w:rStyle w:val="VerbatimChar"/>
        </w:rPr>
        <w:t xml:space="preserve">RawZoneViolation</w:t>
      </w:r>
      <w:r>
        <w:t xml:space="preserve"> </w:t>
      </w:r>
      <w:r>
        <w:t xml:space="preserve">exception.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The system of claim 1, wherein each adapter declares a</w:t>
      </w:r>
      <w:r>
        <w:t xml:space="preserve"> </w:t>
      </w:r>
      <w:r>
        <w:t xml:space="preserve">retention period expressed in years, and an archive manager</w:t>
      </w:r>
      <w:r>
        <w:t xml:space="preserve"> </w:t>
      </w:r>
      <w:r>
        <w:t xml:space="preserve">enforces lifecycle expiration in accordance with the declared</w:t>
      </w:r>
      <w:r>
        <w:t xml:space="preserve"> </w:t>
      </w:r>
      <w:r>
        <w:t xml:space="preserve">retention period.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The system of claim 1, wherein the validation engine</w:t>
      </w:r>
      <w:r>
        <w:t xml:space="preserve"> </w:t>
      </w:r>
      <w:r>
        <w:t xml:space="preserve">distinguishes a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status, indicating that an evidence</w:t>
      </w:r>
      <w:r>
        <w:t xml:space="preserve"> </w:t>
      </w:r>
      <w:r>
        <w:t xml:space="preserve">object is otherwise well-formed but exceeds its adapter's</w:t>
      </w:r>
      <w:r>
        <w:t xml:space="preserve"> </w:t>
      </w:r>
      <w:r>
        <w:t xml:space="preserve">declared freshness window, from a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status indicating</w:t>
      </w:r>
      <w:r>
        <w:t xml:space="preserve"> </w:t>
      </w:r>
      <w:r>
        <w:t xml:space="preserve">substantive non-compliance and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status indicating</w:t>
      </w:r>
      <w:r>
        <w:t xml:space="preserve"> </w:t>
      </w:r>
      <w:r>
        <w:t xml:space="preserve">a pipeline malfunction.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The system of claim 1, wherein the validation engine</w:t>
      </w:r>
      <w:r>
        <w:t xml:space="preserve"> </w:t>
      </w:r>
      <w:r>
        <w:t xml:space="preserve">emits drift indicators drawn from a typed set comprising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The system of claim 1, further comprising a</w:t>
      </w:r>
      <w:r>
        <w:t xml:space="preserve"> </w:t>
      </w:r>
      <w:r>
        <w:t xml:space="preserve">multi-plane orchestrator configured to (i) transform upstream</w:t>
      </w:r>
      <w:r>
        <w:t xml:space="preserve"> </w:t>
      </w:r>
      <w:r>
        <w:t xml:space="preserve">policy findings into an intermediate representation, (ii)</w:t>
      </w:r>
      <w:r>
        <w:t xml:space="preserve"> </w:t>
      </w:r>
      <w:r>
        <w:t xml:space="preserve">evaluate the intermediate representation against named</w:t>
      </w:r>
      <w:r>
        <w:t xml:space="preserve"> </w:t>
      </w:r>
      <w:r>
        <w:t xml:space="preserve">governance indicators, (iii) build an evidence bundle keyed by</w:t>
      </w:r>
      <w:r>
        <w:t xml:space="preserve"> </w:t>
      </w:r>
      <w:r>
        <w:t xml:space="preserve">indicator, and (iv) export the evidence bundle into a</w:t>
      </w:r>
      <w:r>
        <w:t xml:space="preserve"> </w:t>
      </w:r>
      <w:r>
        <w:t xml:space="preserve">standardized control-catalog format.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The system of claim 1, wherein the plurality of</w:t>
      </w:r>
      <w:r>
        <w:t xml:space="preserve"> </w:t>
      </w:r>
      <w:r>
        <w:t xml:space="preserve">adapter modules comprises at least one adapter from each of</w:t>
      </w:r>
      <w:r>
        <w:t xml:space="preserve"> </w:t>
      </w:r>
      <w:r>
        <w:t xml:space="preserve">the following categories: IP-address management; public-key</w:t>
      </w:r>
      <w:r>
        <w:t xml:space="preserve"> </w:t>
      </w:r>
      <w:r>
        <w:t xml:space="preserve">infrastructure; RADIUS network access; LDAP proxy;</w:t>
      </w:r>
      <w:r>
        <w:t xml:space="preserve"> </w:t>
      </w:r>
      <w:r>
        <w:t xml:space="preserve">synchronization-engine retirement; device-management</w:t>
      </w:r>
      <w:r>
        <w:t xml:space="preserve"> </w:t>
      </w:r>
      <w:r>
        <w:t xml:space="preserve">migration; time-services; and distributed-file services.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The system of claim 1, wherein the schema mapping</w:t>
      </w:r>
      <w:r>
        <w:t xml:space="preserve"> </w:t>
      </w:r>
      <w:r>
        <w:t xml:space="preserve">object's</w:t>
      </w:r>
      <w:r>
        <w:t xml:space="preserve"> </w:t>
      </w:r>
      <w:r>
        <w:rPr>
          <w:rStyle w:val="VerbatimChar"/>
        </w:rPr>
        <w:t xml:space="preserve">version_hash</w:t>
      </w:r>
      <w:r>
        <w:t xml:space="preserve"> </w:t>
      </w:r>
      <w:r>
        <w:t xml:space="preserve">is identical across independent</w:t>
      </w:r>
      <w:r>
        <w:t xml:space="preserve"> </w:t>
      </w:r>
      <w:r>
        <w:t xml:space="preserve">invocations of</w:t>
      </w:r>
      <w:r>
        <w:t xml:space="preserve"> </w:t>
      </w:r>
      <w:r>
        <w:rPr>
          <w:rStyle w:val="VerbatimChar"/>
        </w:rPr>
        <w:t xml:space="preserve">discover_schema()</w:t>
      </w:r>
      <w:r>
        <w:t xml:space="preserve"> </w:t>
      </w:r>
      <w:r>
        <w:t xml:space="preserve">against an unchanged</w:t>
      </w:r>
      <w:r>
        <w:t xml:space="preserve"> </w:t>
      </w:r>
      <w:r>
        <w:t xml:space="preserve">source, and the claim object's</w:t>
      </w:r>
      <w:r>
        <w:t xml:space="preserve"> </w:t>
      </w:r>
      <w:r>
        <w:rPr>
          <w:rStyle w:val="VerbatimChar"/>
        </w:rPr>
        <w:t xml:space="preserve">provenance_hash</w:t>
      </w:r>
      <w:r>
        <w:t xml:space="preserve"> </w:t>
      </w:r>
      <w:r>
        <w:t xml:space="preserve">is identical</w:t>
      </w:r>
      <w:r>
        <w:t xml:space="preserve"> </w:t>
      </w:r>
      <w:r>
        <w:t xml:space="preserve">across independent invocations of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over an</w:t>
      </w:r>
      <w:r>
        <w:t xml:space="preserve"> </w:t>
      </w:r>
      <w:r>
        <w:t xml:space="preserve">unchanged input row set.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The method of claim 2, further comprising progressing</w:t>
      </w:r>
      <w:r>
        <w:t xml:space="preserve"> </w:t>
      </w:r>
      <w:r>
        <w:t xml:space="preserve">through a five-stage migration pipeline comprising discovery,</w:t>
      </w:r>
      <w:r>
        <w:t xml:space="preserve"> </w:t>
      </w:r>
      <w:r>
        <w:t xml:space="preserve">normalization, mapping, migration, and validation, wherein</w:t>
      </w:r>
      <w:r>
        <w:t xml:space="preserve"> </w:t>
      </w:r>
      <w:r>
        <w:t xml:space="preserve">progression from each stage to the next is gated by the</w:t>
      </w:r>
      <w:r>
        <w:t xml:space="preserve"> </w:t>
      </w:r>
      <w:r>
        <w:t xml:space="preserve">presence of fresh, passing evidence in the write-once storage</w:t>
      </w:r>
      <w:r>
        <w:t xml:space="preserve"> </w:t>
      </w:r>
      <w:r>
        <w:t xml:space="preserve">tier.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The method of claim 2, wherein the cloud identity</w:t>
      </w:r>
      <w:r>
        <w:t xml:space="preserve"> </w:t>
      </w:r>
      <w:r>
        <w:t xml:space="preserve">platform comprises a directory service to which user and group</w:t>
      </w:r>
      <w:r>
        <w:t xml:space="preserve"> </w:t>
      </w:r>
      <w:r>
        <w:t xml:space="preserve">objects are synchronized, and the method further comprises</w:t>
      </w:r>
      <w:r>
        <w:t xml:space="preserve"> </w:t>
      </w:r>
      <w:r>
        <w:t xml:space="preserve">reconstructing governance for at least the following</w:t>
      </w:r>
      <w:r>
        <w:t xml:space="preserve"> </w:t>
      </w:r>
      <w:r>
        <w:t xml:space="preserve">on-premises directory dependency categories: users, computers,</w:t>
      </w:r>
      <w:r>
        <w:t xml:space="preserve"> </w:t>
      </w:r>
      <w:r>
        <w:t xml:space="preserve">service accounts, security groups, group policy objects,</w:t>
      </w:r>
      <w:r>
        <w:t xml:space="preserve"> </w:t>
      </w:r>
      <w:r>
        <w:t xml:space="preserve">DNS/DHCP, public-key infrastructure, RADIUS/802.1X, LDAP</w:t>
      </w:r>
      <w:r>
        <w:t xml:space="preserve"> </w:t>
      </w:r>
      <w:r>
        <w:t xml:space="preserve">applications, service principal names, and trust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A non-transitory computer-readable medium storing</w:t>
      </w:r>
      <w:r>
        <w:t xml:space="preserve"> </w:t>
      </w:r>
      <w:r>
        <w:t xml:space="preserve">instructions that, when executed by one or more processors,</w:t>
      </w:r>
      <w:r>
        <w:t xml:space="preserve"> </w:t>
      </w:r>
      <w:r>
        <w:t xml:space="preserve">cause the one or more processors to perform the method of</w:t>
      </w:r>
      <w:r>
        <w:t xml:space="preserve"> </w:t>
      </w:r>
      <w:r>
        <w:t xml:space="preserve">claim 2.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bstract-of-the-disclosure"/>
    <w:p>
      <w:pPr>
        <w:pStyle w:val="Heading2"/>
      </w:pPr>
      <w:r>
        <w:t xml:space="preserve">Abstract of the Disclosure</w:t>
      </w:r>
    </w:p>
    <w:p>
      <w:pPr>
        <w:pStyle w:val="FirstParagraph"/>
      </w:pPr>
      <w:r>
        <w:t xml:space="preserve">A computer-implemented system and method for migrating</w:t>
      </w:r>
      <w:r>
        <w:t xml:space="preserve"> </w:t>
      </w:r>
      <w:r>
        <w:t xml:space="preserve">governance state from an on-premises directory service to a</w:t>
      </w:r>
      <w:r>
        <w:t xml:space="preserve"> </w:t>
      </w:r>
      <w:r>
        <w:t xml:space="preserve">cloud identity platform. A plurality of vendor-agnostic</w:t>
      </w:r>
      <w:r>
        <w:t xml:space="preserve"> </w:t>
      </w:r>
      <w:r>
        <w:t xml:space="preserve">adapter modules conforming to a seven-domain contract emit</w:t>
      </w:r>
      <w:r>
        <w:t xml:space="preserve"> </w:t>
      </w:r>
      <w:r>
        <w:t xml:space="preserve">provenance-bearing envelopes (connection, schema mapping,</w:t>
      </w:r>
      <w:r>
        <w:t xml:space="preserve"> </w:t>
      </w:r>
      <w:r>
        <w:t xml:space="preserve">query, claim, drift, evidence) under a deterministic</w:t>
      </w:r>
      <w:r>
        <w:t xml:space="preserve"> </w:t>
      </w:r>
      <w:r>
        <w:t xml:space="preserve">provenance chain anchored in SHA-256 digests over canonically</w:t>
      </w:r>
      <w:r>
        <w:t xml:space="preserve"> </w:t>
      </w:r>
      <w:r>
        <w:t xml:space="preserve">serialized payloads. A dual-axis registry, validated against</w:t>
      </w:r>
      <w:r>
        <w:t xml:space="preserve"> </w:t>
      </w:r>
      <w:r>
        <w:t xml:space="preserve">a JSON Schema, declares each adapter along an operational</w:t>
      </w:r>
      <w:r>
        <w:t xml:space="preserve"> </w:t>
      </w:r>
      <w:r>
        <w:t xml:space="preserve">axis (modernization vs. conformance) and a doctrinal axis</w:t>
      </w:r>
      <w:r>
        <w:t xml:space="preserve"> </w:t>
      </w:r>
      <w:r>
        <w:t xml:space="preserve">(identity / telemetry / policy / enforcement / integration /</w:t>
      </w:r>
      <w:r>
        <w:t xml:space="preserve"> </w:t>
      </w:r>
      <w:r>
        <w:t xml:space="preserve">mixed / unmapped) and enforces identifier-stability and</w:t>
      </w:r>
      <w:r>
        <w:t xml:space="preserve"> </w:t>
      </w:r>
      <w:r>
        <w:t xml:space="preserve">lifecycle invariants. An immutable, write-once raw-evidence</w:t>
      </w:r>
      <w:r>
        <w:t xml:space="preserve"> </w:t>
      </w:r>
      <w:r>
        <w:t xml:space="preserve">storage tier persists adapter outputs and rejects</w:t>
      </w:r>
      <w:r>
        <w:t xml:space="preserve"> </w:t>
      </w:r>
      <w:r>
        <w:t xml:space="preserve">modification of archived runs at the storage layer. A</w:t>
      </w:r>
      <w:r>
        <w:t xml:space="preserve"> </w:t>
      </w:r>
      <w:r>
        <w:t xml:space="preserve">validation engine evaluates evidence against named governance</w:t>
      </w:r>
      <w:r>
        <w:t xml:space="preserve"> </w:t>
      </w:r>
      <w:r>
        <w:t xml:space="preserve">indicators and per-adapter freshness windows, emitting</w:t>
      </w:r>
      <w:r>
        <w:t xml:space="preserve"> </w:t>
      </w:r>
      <w:r>
        <w:t xml:space="preserve">results drawn from {pass, fail, error, stale} together with</w:t>
      </w:r>
      <w:r>
        <w:t xml:space="preserve"> </w:t>
      </w:r>
      <w:r>
        <w:t xml:space="preserve">typed drift indicators. A multi-plane orchestrator transforms</w:t>
      </w:r>
      <w:r>
        <w:t xml:space="preserve"> </w:t>
      </w:r>
      <w:r>
        <w:t xml:space="preserve">findings, evaluates indicators, builds evidence bundles, and</w:t>
      </w:r>
      <w:r>
        <w:t xml:space="preserve"> </w:t>
      </w:r>
      <w:r>
        <w:t xml:space="preserve">exports standardized control-catalog artifacts. The system</w:t>
      </w:r>
      <w:r>
        <w:t xml:space="preserve"> </w:t>
      </w:r>
      <w:r>
        <w:t xml:space="preserve">reconstructs governance continuity for eleven categories of</w:t>
      </w:r>
      <w:r>
        <w:t xml:space="preserve"> </w:t>
      </w:r>
      <w:r>
        <w:t xml:space="preserve">on-premises directory dependency during migration to a cloud</w:t>
      </w:r>
      <w:r>
        <w:t xml:space="preserve"> </w:t>
      </w:r>
      <w:r>
        <w:t xml:space="preserve">identity platform.</w:t>
      </w:r>
    </w:p>
    <w:p>
      <w:r>
        <w:pict>
          <v:rect style="width:0;height:1.5pt" o:hralign="center" o:hrstd="t" o:hr="t"/>
        </w:pict>
      </w:r>
    </w:p>
    <w:bookmarkEnd w:id="48"/>
    <w:bookmarkStart w:id="49" w:name="filing-checklist-pro-se-on-patent-center"/>
    <w:p>
      <w:pPr>
        <w:pStyle w:val="Heading2"/>
      </w:pPr>
      <w:r>
        <w:t xml:space="preserve">Filing Checklist (Pro Se on Patent Center)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Verify micro-entity eligibility</w:t>
      </w:r>
      <w:r>
        <w:t xml:space="preserve"> </w:t>
      </w:r>
      <w:r>
        <w:t xml:space="preserve">under 37 C.F.R. § 1.29</w:t>
      </w:r>
      <w:r>
        <w:t xml:space="preserve"> </w:t>
      </w:r>
      <w:r>
        <w:t xml:space="preserve">(gross-income test and fewer than four prior non-provisional</w:t>
      </w:r>
      <w:r>
        <w:t xml:space="preserve"> </w:t>
      </w:r>
      <w:r>
        <w:t xml:space="preserve">filings, with exclusions). If ineligible, file as small</w:t>
      </w:r>
      <w:r>
        <w:t xml:space="preserve"> </w:t>
      </w:r>
      <w:r>
        <w:t xml:space="preserve">entity.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Verify current USPTO fee</w:t>
      </w:r>
      <w:r>
        <w:t xml:space="preserve"> </w:t>
      </w:r>
      <w:r>
        <w:t xml:space="preserve">for a provisional application</w:t>
      </w:r>
      <w:r>
        <w:t xml:space="preserve"> </w:t>
      </w:r>
      <w:r>
        <w:t xml:space="preserve">at micro / small entity rates on</w:t>
      </w:r>
      <w:r>
        <w:t xml:space="preserve"> </w:t>
      </w:r>
      <w:r>
        <w:rPr>
          <w:rStyle w:val="VerbatimChar"/>
        </w:rPr>
        <w:t xml:space="preserve">uspto.gov</w:t>
      </w:r>
      <w:r>
        <w:t xml:space="preserve"> </w:t>
      </w:r>
      <w:r>
        <w:t xml:space="preserve">before filing;</w:t>
      </w:r>
      <w:r>
        <w:t xml:space="preserve"> </w:t>
      </w:r>
      <w:r>
        <w:t xml:space="preserve">fees change.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Save this specification as a single PDF</w:t>
      </w:r>
      <w:r>
        <w:t xml:space="preserve">, paginated, with</w:t>
      </w:r>
      <w:r>
        <w:t xml:space="preserve"> </w:t>
      </w:r>
      <w:r>
        <w:t xml:space="preserve">line numbers if convenient.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Prepare the cover sheet</w:t>
      </w:r>
      <w:r>
        <w:t xml:space="preserve"> </w:t>
      </w:r>
      <w:r>
        <w:t xml:space="preserve">(Form PTO/SB/16) using the data</w:t>
      </w:r>
      <w:r>
        <w:t xml:space="preserve"> </w:t>
      </w:r>
      <w:r>
        <w:t xml:space="preserve">in the section above.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Prepare drawings</w:t>
      </w:r>
      <w:r>
        <w:t xml:space="preserve"> </w:t>
      </w:r>
      <w:r>
        <w:t xml:space="preserve">(Figures 1–9 above) as a separate PDF</w:t>
      </w:r>
      <w:r>
        <w:t xml:space="preserve"> </w:t>
      </w:r>
      <w:r>
        <w:t xml:space="preserve">if drawings will be filed. Provisional drawings are</w:t>
      </w:r>
      <w:r>
        <w:t xml:space="preserve"> </w:t>
      </w:r>
      <w:r>
        <w:t xml:space="preserve">permissible in informal form so long as the disclosure is</w:t>
      </w:r>
      <w:r>
        <w:t xml:space="preserve"> </w:t>
      </w:r>
      <w:r>
        <w:t xml:space="preserve">understandable.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File via Patent Center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patentcenter.uspto.gov</w:t>
      </w:r>
      <w:r>
        <w:t xml:space="preserve">.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New → Provisional</w:t>
      </w:r>
      <w:r>
        <w:t xml:space="preserve">. Upload the specification PDF,</w:t>
      </w:r>
      <w:r>
        <w:t xml:space="preserve"> </w:t>
      </w:r>
      <w:r>
        <w:t xml:space="preserve">drawings PDF (optional but recommended for §112</w:t>
      </w:r>
      <w:r>
        <w:t xml:space="preserve"> </w:t>
      </w:r>
      <w:r>
        <w:t xml:space="preserve">enablement), and the cover sheet. Pay the fee.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 the filing receipt</w:t>
      </w:r>
      <w:r>
        <w:t xml:space="preserve"> </w:t>
      </w:r>
      <w:r>
        <w:t xml:space="preserve">(Application No. 63/XXX,XXX</w:t>
      </w:r>
      <w:r>
        <w:t xml:space="preserve"> </w:t>
      </w:r>
      <w:r>
        <w:t xml:space="preserve">and filing date) and calendar the</w:t>
      </w:r>
      <w:r>
        <w:t xml:space="preserve"> </w:t>
      </w:r>
      <w:r>
        <w:rPr>
          <w:bCs/>
          <w:b/>
        </w:rPr>
        <w:t xml:space="preserve">12-month deadline</w:t>
      </w:r>
      <w:r>
        <w:t xml:space="preserve"> </w:t>
      </w:r>
      <w:r>
        <w:t xml:space="preserve">for</w:t>
      </w:r>
      <w:r>
        <w:t xml:space="preserve"> </w:t>
      </w:r>
      <w:r>
        <w:t xml:space="preserve">the non-provisional / PCT decision.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Foreign-filing note.</w:t>
      </w:r>
      <w:r>
        <w:t xml:space="preserve"> </w:t>
      </w:r>
      <w:r>
        <w:t xml:space="preserve">Public disclosure on a public</w:t>
      </w:r>
      <w:r>
        <w:t xml:space="preserve"> </w:t>
      </w:r>
      <w:r>
        <w:t xml:space="preserve">repository prior to the priority date may have already</w:t>
      </w:r>
      <w:r>
        <w:t xml:space="preserve"> </w:t>
      </w:r>
      <w:r>
        <w:t xml:space="preserve">forfeited absolute-novelty jurisdictions (most non-US</w:t>
      </w:r>
      <w:r>
        <w:t xml:space="preserve"> </w:t>
      </w:r>
      <w:r>
        <w:t xml:space="preserve">jurisdictions). The U.S. 35 U.S.C. § 102(b)(1) grace period</w:t>
      </w:r>
      <w:r>
        <w:t xml:space="preserve"> </w:t>
      </w:r>
      <w:r>
        <w:t xml:space="preserve">may still preserve U.S. rights for one year from the</w:t>
      </w:r>
      <w:r>
        <w:t xml:space="preserve"> </w:t>
      </w:r>
      <w:r>
        <w:t xml:space="preserve">inventor's own disclosure; confirm with counsel.</w:t>
      </w:r>
    </w:p>
    <w:p>
      <w:r>
        <w:pict>
          <v:rect style="width:0;height:1.5pt" o:hralign="center" o:hrstd="t" o:hr="t"/>
        </w:pict>
      </w:r>
    </w:p>
    <w:bookmarkEnd w:id="49"/>
    <w:bookmarkStart w:id="50" w:name="X23479237e665f5cd297789a338f70d681642bd3"/>
    <w:p>
      <w:pPr>
        <w:pStyle w:val="Heading2"/>
      </w:pPr>
      <w:r>
        <w:t xml:space="preserve">Risks the Inventor Should Discuss with a Patent Practitioner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§101 (subject-matter eligibility).</w:t>
      </w:r>
      <w:r>
        <w:t xml:space="preserve"> </w:t>
      </w:r>
      <w:r>
        <w:t xml:space="preserve">The claims above are</w:t>
      </w:r>
      <w:r>
        <w:t xml:space="preserve"> </w:t>
      </w:r>
      <w:r>
        <w:t xml:space="preserve">framed around concrete technical mechanisms (cryptographic</w:t>
      </w:r>
      <w:r>
        <w:t xml:space="preserve"> </w:t>
      </w:r>
      <w:r>
        <w:t xml:space="preserve">hash chains, schema-validated registries, write-once storage</w:t>
      </w:r>
      <w:r>
        <w:t xml:space="preserve"> </w:t>
      </w:r>
      <w:r>
        <w:t xml:space="preserve">enforcement, typed drift indicators). Counsel should still</w:t>
      </w:r>
      <w:r>
        <w:t xml:space="preserve"> </w:t>
      </w:r>
      <w:r>
        <w:t xml:space="preserve">pressure-test the claims against the 2019 PEG Step 2A/2B</w:t>
      </w:r>
      <w:r>
        <w:t xml:space="preserve"> </w:t>
      </w:r>
      <w:r>
        <w:t xml:space="preserve">analysis and the most recent Federal Circuit guidance.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§112 (written description and enablement).</w:t>
      </w:r>
      <w:r>
        <w:t xml:space="preserve"> </w:t>
      </w:r>
      <w:r>
        <w:t xml:space="preserve">This draft</w:t>
      </w:r>
      <w:r>
        <w:t xml:space="preserve"> </w:t>
      </w:r>
      <w:r>
        <w:t xml:space="preserve">quotes the canonical dataclasses and method signatures</w:t>
      </w:r>
      <w:r>
        <w:t xml:space="preserve"> </w:t>
      </w:r>
      <w:r>
        <w:t xml:space="preserve">in-line rather than incorporating external URLs by</w:t>
      </w:r>
      <w:r>
        <w:t xml:space="preserve"> </w:t>
      </w:r>
      <w:r>
        <w:t xml:space="preserve">reference. Counsel should confirm sufficiency, particularly</w:t>
      </w:r>
      <w:r>
        <w:t xml:space="preserve"> </w:t>
      </w:r>
      <w:r>
        <w:t xml:space="preserve">for the orchestrator planes and the drift-typing logic.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Prior-art landscape.</w:t>
      </w:r>
      <w:r>
        <w:t xml:space="preserve"> </w:t>
      </w:r>
      <w:r>
        <w:t xml:space="preserve">Commercial AD-to-Entra migration</w:t>
      </w:r>
      <w:r>
        <w:t xml:space="preserve"> </w:t>
      </w:r>
      <w:r>
        <w:t xml:space="preserve">toolchains (for example, those sold by Quest, BitTitan,</w:t>
      </w:r>
      <w:r>
        <w:t xml:space="preserve"> </w:t>
      </w:r>
      <w:r>
        <w:t xml:space="preserve">Semperis, ENow, and others) and Microsoft's own Cloud Sync</w:t>
      </w:r>
      <w:r>
        <w:t xml:space="preserve"> </w:t>
      </w:r>
      <w:r>
        <w:t xml:space="preserve">and Intune analytics products should be searched on Google</w:t>
      </w:r>
      <w:r>
        <w:t xml:space="preserve"> </w:t>
      </w:r>
      <w:r>
        <w:t xml:space="preserve">Patents and on</w:t>
      </w:r>
      <w:r>
        <w:t xml:space="preserve"> </w:t>
      </w:r>
      <w:r>
        <w:rPr>
          <w:rStyle w:val="VerbatimChar"/>
        </w:rPr>
        <w:t xml:space="preserve">patentscope.wipo.int</w:t>
      </w:r>
      <w:r>
        <w:t xml:space="preserve"> </w:t>
      </w:r>
      <w:r>
        <w:t xml:space="preserve">for the closest art.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 public disclosure.</w:t>
      </w:r>
      <w:r>
        <w:t xml:space="preserve"> </w:t>
      </w:r>
      <w:r>
        <w:t xml:space="preserve">Public materials on</w:t>
      </w:r>
      <w:r>
        <w:t xml:space="preserve"> </w:t>
      </w:r>
      <w:r>
        <w:rPr>
          <w:rStyle w:val="VerbatimChar"/>
        </w:rPr>
        <w:t xml:space="preserve">whalermike.github.io</w:t>
      </w:r>
      <w:r>
        <w:t xml:space="preserve"> </w:t>
      </w:r>
      <w:r>
        <w:t xml:space="preserve">and the public source repository may</w:t>
      </w:r>
      <w:r>
        <w:t xml:space="preserve"> </w:t>
      </w:r>
      <w:r>
        <w:t xml:space="preserve">constitute prior art outside the U.S. one-year grace period.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Inventorship.</w:t>
      </w:r>
      <w:r>
        <w:t xml:space="preserve"> </w:t>
      </w:r>
      <w:r>
        <w:t xml:space="preserve">Confirm sole / joint inventorship of every</w:t>
      </w:r>
      <w:r>
        <w:t xml:space="preserve"> </w:t>
      </w:r>
      <w:r>
        <w:t xml:space="preserve">claimed feature; misjoinder or non-joinder is curable but</w:t>
      </w:r>
      <w:r>
        <w:t xml:space="preserve"> </w:t>
      </w:r>
      <w:r>
        <w:t xml:space="preserve">best avoided.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provisional patent application draft.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Patent Application ��� UIAO</dc:title>
  <dc:creator>[Inventor Full Legal Name]</dc:creator>
  <cp:keywords/>
  <dcterms:created xsi:type="dcterms:W3CDTF">2026-05-16T00:21:48Z</dcterms:created>
  <dcterms:modified xsi:type="dcterms:W3CDTF">2026-05-16T00:21:48Z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