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xml:space="preserve">- </w:t>
      </w:r>
      <w:r>
        <w:rPr>
          <w:rFonts w:ascii="Calibri" w:hAnsi="Calibri"/>
          <w:b/>
          <w:i w:val="0"/>
          <w:sz w:val="22"/>
        </w:rPr>
        <w:t>identity:</w:t>
      </w:r>
      <w:r>
        <w:rPr>
          <w:rFonts w:ascii="Calibri" w:hAnsi="Calibri"/>
          <w:sz w:val="22"/>
        </w:rPr>
        <w:t xml:space="preserve"> Manages user and device identity, authentication, and access control across the UIAO architecture.</w:t>
      </w:r>
    </w:p>
    <w:p>
      <w:pPr>
        <w:spacing w:before="120" w:after="120" w:line="276" w:lineRule="auto"/>
      </w:pPr>
      <w:r>
        <w:rPr>
          <w:rFonts w:ascii="Calibri" w:hAnsi="Calibri"/>
          <w:sz w:val="22"/>
        </w:rPr>
        <w:t xml:space="preserve">- </w:t>
      </w:r>
      <w:r>
        <w:rPr>
          <w:rFonts w:ascii="Calibri" w:hAnsi="Calibri"/>
          <w:b/>
          <w:i w:val="0"/>
          <w:sz w:val="22"/>
        </w:rPr>
        <w:t>addressing:</w:t>
      </w:r>
      <w:r>
        <w:rPr>
          <w:rFonts w:ascii="Calibri" w:hAnsi="Calibri"/>
          <w:sz w:val="22"/>
        </w:rPr>
        <w:t xml:space="preserve"> Manages IP address space, DNS resolution, and asset tracking across the enterprise network.</w:t>
      </w:r>
    </w:p>
    <w:p>
      <w:pPr>
        <w:spacing w:before="120" w:after="120" w:line="276" w:lineRule="auto"/>
      </w:pPr>
      <w:r>
        <w:rPr>
          <w:rFonts w:ascii="Calibri" w:hAnsi="Calibri"/>
          <w:sz w:val="22"/>
        </w:rPr>
        <w:t xml:space="preserve">- </w:t>
      </w:r>
      <w:r>
        <w:rPr>
          <w:rFonts w:ascii="Calibri" w:hAnsi="Calibri"/>
          <w:b/>
          <w:i w:val="0"/>
          <w:sz w:val="22"/>
        </w:rPr>
        <w:t>overlay:</w:t>
      </w:r>
      <w:r>
        <w:rPr>
          <w:rFonts w:ascii="Calibri" w:hAnsi="Calibri"/>
          <w:sz w:val="22"/>
        </w:rPr>
        <w:t xml:space="preserve"> Provides secure overlay networking, zero-trust network access, and microsegmentation capabilities.</w:t>
      </w:r>
    </w:p>
    <w:p>
      <w:pPr>
        <w:spacing w:before="120" w:after="120" w:line="276" w:lineRule="auto"/>
      </w:pPr>
      <w:r>
        <w:rPr>
          <w:rFonts w:ascii="Calibri" w:hAnsi="Calibri"/>
          <w:sz w:val="22"/>
        </w:rPr>
        <w:t xml:space="preserve">- </w:t>
      </w:r>
      <w:r>
        <w:rPr>
          <w:rFonts w:ascii="Calibri" w:hAnsi="Calibri"/>
          <w:b/>
          <w:i w:val="0"/>
          <w:sz w:val="22"/>
        </w:rPr>
        <w:t>telemetry:</w:t>
      </w:r>
      <w:r>
        <w:rPr>
          <w:rFonts w:ascii="Calibri" w:hAnsi="Calibri"/>
          <w:sz w:val="22"/>
        </w:rPr>
        <w:t xml:space="preserve"> Collects, aggregates, and analyzes security telemetry from all planes to enable continuous monitoring and threat detection.</w:t>
      </w:r>
    </w:p>
    <w:p>
      <w:pPr>
        <w:spacing w:before="120" w:after="120" w:line="276" w:lineRule="auto"/>
      </w:pPr>
      <w:r>
        <w:rPr>
          <w:rFonts w:ascii="Calibri" w:hAnsi="Calibri"/>
          <w:sz w:val="22"/>
        </w:rPr>
        <w:t xml:space="preserve">- </w:t>
      </w:r>
      <w:r>
        <w:rPr>
          <w:rFonts w:ascii="Calibri" w:hAnsi="Calibri"/>
          <w:b/>
          <w:i w:val="0"/>
          <w:sz w:val="22"/>
        </w:rPr>
        <w:t>management:</w:t>
      </w:r>
      <w:r>
        <w:rPr>
          <w:rFonts w:ascii="Calibri" w:hAnsi="Calibri"/>
          <w:sz w:val="22"/>
        </w:rPr>
        <w:t xml:space="preserve"> Orchestrates policy enforcement, automation, and continuous compliance monitoring across all UIAO planes.</w:t>
      </w:r>
    </w:p>
    <w:p>
      <w:pPr>
        <w:spacing w:before="120" w:after="120" w:line="276" w:lineRule="auto"/>
      </w:pPr>
      <w:r>
        <w:rPr>
          <w:rFonts w:ascii="Calibri" w:hAnsi="Calibri"/>
          <w:sz w:val="22"/>
        </w:rPr>
        <w:t xml:space="preserve">- </w:t>
      </w:r>
      <w:r>
        <w:rPr>
          <w:rFonts w:ascii="Calibri" w:hAnsi="Calibri"/>
          <w:b/>
          <w:i w:val="0"/>
          <w:sz w:val="22"/>
        </w:rPr>
        <w:t>network:</w:t>
      </w:r>
      <w:r>
        <w:rPr>
          <w:rFonts w:ascii="Calibri" w:hAnsi="Calibri"/>
          <w:sz w:val="22"/>
        </w:rPr>
        <w:t xml:space="preserve"> Manages physical and virtual network connectivity, routing, and traffic engineering.</w:t>
      </w:r>
    </w:p>
    <w:p>
      <w:pPr>
        <w:spacing w:before="120" w:after="120" w:line="276" w:lineRule="auto"/>
      </w:pPr>
      <w:r>
        <w:rPr>
          <w:rFonts w:ascii="Calibri" w:hAnsi="Calibri"/>
          <w:sz w:val="22"/>
        </w:rPr>
        <w:t xml:space="preserve">- </w:t>
      </w:r>
      <w:r>
        <w:rPr>
          <w:rFonts w:ascii="Calibri" w:hAnsi="Calibri"/>
          <w:b/>
          <w:i w:val="0"/>
          <w:sz w:val="22"/>
        </w:rPr>
        <w:t>endpoint:</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