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UIAO Repository Governance</w:t>
      </w:r>
    </w:p>
    <w:p>
      <w:r>
        <w:t>This page defines the canonical separation between the two UIAO repositories — uiao-docs and uiao-core — and establishes the governance rules that prevent drift, preserve provenance, and maintain a clean boundary between human-facing and machine-facing artifacts. It is the authoritative source of truth for how documentation, diagrams, and historical records are structured across the UIAO ecosystem.</w:t>
      </w:r>
    </w:p>
    <w:p>
      <w:pPr>
        <w:pStyle w:val="Heading2"/>
      </w:pPr>
      <w:r>
        <w:t>Repository Roles</w:t>
      </w:r>
    </w:p>
    <w:p>
      <w:pPr>
        <w:pStyle w:val="Heading3"/>
      </w:pPr>
      <w:r>
        <w:t>UIAO-DOCS — Active Human-Facing Repository</w:t>
      </w:r>
    </w:p>
    <w:p>
      <w:r>
        <w:t>This repository contains all current, editable, user-facing documentation, including Modernization Atlas (Articles 1–20), Phase 5 Substrate Documents, Deep Dives, Governance &amp; Style Documents, Appendices A–J, M365 Article Series, UIAO Educational Documents, and all diagrams, images, and Quarto pages. This is the only location where human-readable content is authored, edited, or maintained.</w:t>
      </w:r>
    </w:p>
    <w:p>
      <w:pPr>
        <w:pStyle w:val="Heading3"/>
      </w:pPr>
      <w:r>
        <w:t>UIAO-CORE — Frozen Provenance Archive</w:t>
      </w:r>
    </w:p>
    <w:p>
      <w:r>
        <w:t>This repository contains Legacy Articles 00–19, frozen historical copies of documents, machine-facing components, automation, adapters, and OSCAL engine artifacts. Nothing in uiao-core is ever edited. It exists solely to preserve provenance, commit history, and immutability.</w:t>
      </w:r>
    </w:p>
    <w:p>
      <w:pPr>
        <w:pStyle w:val="Heading2"/>
      </w:pPr>
      <w:r>
        <w:t>UIAO Repository Provenance Flow</w:t>
      </w:r>
    </w:p>
    <w:p>
      <w:r>
        <w:t>(Embed diagram manually in Word after export.)</w:t>
      </w:r>
    </w:p>
    <w:p>
      <w:pPr>
        <w:pStyle w:val="Heading2"/>
      </w:pPr>
      <w:r>
        <w:t>Provenance Ledger (Canonical Mapping)</w:t>
      </w:r>
    </w:p>
    <w:p>
      <w:pPr>
        <w:pStyle w:val="ListBullet"/>
      </w:pPr>
      <w:r>
        <w:t>Modernization Atlas (Articles 1–20): uiao-docs — Current — Active, editable, canonical versions</w:t>
      </w:r>
    </w:p>
    <w:p>
      <w:pPr>
        <w:pStyle w:val="ListBullet"/>
      </w:pPr>
      <w:r>
        <w:t>Legacy Atlas (Articles 00–19): uiao-core — Frozen — Retained for provenance only</w:t>
      </w:r>
    </w:p>
    <w:p>
      <w:pPr>
        <w:pStyle w:val="ListBullet"/>
      </w:pPr>
      <w:r>
        <w:t>Phase 5 Substrate Docs: uiao-docs — Current</w:t>
      </w:r>
    </w:p>
    <w:p>
      <w:pPr>
        <w:pStyle w:val="ListBullet"/>
      </w:pPr>
      <w:r>
        <w:t>Deep Dives: uiao-docs — Current</w:t>
      </w:r>
    </w:p>
    <w:p>
      <w:pPr>
        <w:pStyle w:val="ListBullet"/>
      </w:pPr>
      <w:r>
        <w:t>Governance &amp; Style Docs: uiao-docs — Current</w:t>
      </w:r>
    </w:p>
    <w:p>
      <w:pPr>
        <w:pStyle w:val="ListBullet"/>
      </w:pPr>
      <w:r>
        <w:t>Appendices A–J: uiao-docs — Current</w:t>
      </w:r>
    </w:p>
    <w:p>
      <w:pPr>
        <w:pStyle w:val="ListBullet"/>
      </w:pPr>
      <w:r>
        <w:t>M365 Article Series (1–10): uiao-docs — Needs Creating — Titles locked; content pending</w:t>
      </w:r>
    </w:p>
    <w:p>
      <w:pPr>
        <w:pStyle w:val="ListBullet"/>
      </w:pPr>
      <w:r>
        <w:t>UIAO Educational Docs: uiao-docs — Mixed — Most current; some pending creation</w:t>
      </w:r>
    </w:p>
    <w:p>
      <w:pPr>
        <w:pStyle w:val="ListBullet"/>
      </w:pPr>
      <w:r>
        <w:t>Frozen Historical Copies: uiao-core — Frozen — Immutable archive for provenance</w:t>
      </w:r>
    </w:p>
    <w:p>
      <w:pPr>
        <w:pStyle w:val="ListBullet"/>
      </w:pPr>
      <w:r>
        <w:t>Automation, Adapters, OSCAL Engine: uiao-core — Machine-facing — Not user documents</w:t>
      </w:r>
    </w:p>
    <w:p>
      <w:pPr>
        <w:pStyle w:val="Heading2"/>
      </w:pPr>
      <w:r>
        <w:t>Governance Rules</w:t>
      </w:r>
    </w:p>
    <w:p>
      <w:pPr>
        <w:pStyle w:val="ListNumber"/>
      </w:pPr>
      <w:r>
        <w:t>1. Human vs Machine Separation: All human-readable content lives in uiao-docs; all machine-facing content lives in uiao-core. No exceptions.</w:t>
      </w:r>
    </w:p>
    <w:p>
      <w:pPr>
        <w:pStyle w:val="ListNumber"/>
      </w:pPr>
      <w:r>
        <w:t>2. Frozen vs Active: uiao-core is immutable; uiao-docs is the only editable repository.</w:t>
      </w:r>
    </w:p>
    <w:p>
      <w:pPr>
        <w:pStyle w:val="ListNumber"/>
      </w:pPr>
      <w:r>
        <w:t>3. One-Way Provenance Flow: Documents may flow from uiao-docs to uiao-core when frozen; they never flow back.</w:t>
      </w:r>
    </w:p>
    <w:p>
      <w:pPr>
        <w:pStyle w:val="ListNumber"/>
      </w:pPr>
      <w:r>
        <w:t>4. Drift Prevention: No .docx, .pdf, or rendered artifacts are stored in the repo. Only source files (.md, .qmd, .png, .csv) are canonical. Rendered outputs are generated on demand.</w:t>
      </w:r>
    </w:p>
    <w:p>
      <w:pPr>
        <w:pStyle w:val="ListNumber"/>
      </w:pPr>
      <w:r>
        <w:t>5. Canonical Location: This governance page belongs in uiao-docs/docs/governance/repo-governance.qmd.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