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6.png" ContentType="image/png"/>
  <Override PartName="/word/media/rId53.png" ContentType="image/png"/>
  <Override PartName="/word/media/rId59.png" ContentType="image/png"/>
  <Override PartName="/word/media/rId112.png" ContentType="image/png"/>
  <Override PartName="/word/media/rId68.png" ContentType="image/png"/>
  <Override PartName="/word/media/rId64.png" ContentType="image/png"/>
  <Override PartName="/word/media/rId33.png" ContentType="image/png"/>
  <Override PartName="/word/media/rId74.png" ContentType="image/png"/>
  <Override PartName="/word/media/rId22.png" ContentType="image/png"/>
  <Override PartName="/word/media/rId101.png" ContentType="image/png"/>
  <Override PartName="/word/media/rId25.png" ContentType="image/png"/>
  <Override PartName="/word/media/rId56.png" ContentType="image/png"/>
  <Override PartName="/word/media/rId121.png" ContentType="image/png"/>
  <Override PartName="/word/media/rId109.png" ContentType="image/png"/>
  <Override PartName="/word/media/rId82.svgz" ContentType="image/svg+xml"/>
  <Override PartName="/word/media/rId87.svgz" ContentType="image/svg+xml"/>
  <Override PartName="/word/media/rId95.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01</w:t>
      </w:r>
      <w:r>
        <w:t xml:space="preserve"> </w:t>
      </w:r>
      <w:r>
        <w:t xml:space="preserve">—</w:t>
      </w:r>
      <w:r>
        <w:t xml:space="preserve"> </w:t>
      </w:r>
      <w:r>
        <w:t xml:space="preserve">Federal</w:t>
      </w:r>
      <w:r>
        <w:t xml:space="preserve"> </w:t>
      </w:r>
      <w:r>
        <w:t xml:space="preserve">Agency</w:t>
      </w:r>
      <w:r>
        <w:t xml:space="preserve"> </w:t>
      </w:r>
      <w:r>
        <w:t xml:space="preserve">Cloud</w:t>
      </w:r>
      <w:r>
        <w:t xml:space="preserve"> </w:t>
      </w:r>
      <w:r>
        <w:t xml:space="preserve">Landing</w:t>
      </w:r>
      <w:r>
        <w:t xml:space="preserve"> </w:t>
      </w:r>
      <w:r>
        <w:t xml:space="preserve">Zone</w:t>
      </w:r>
    </w:p>
    <w:p>
      <w:pPr>
        <w:pStyle w:val="Subtitle"/>
      </w:pPr>
      <w:r>
        <w:t xml:space="preserve">IPAM</w:t>
      </w:r>
      <w:r>
        <w:t xml:space="preserve"> </w:t>
      </w:r>
      <w:r>
        <w:t xml:space="preserve">·</w:t>
      </w:r>
      <w:r>
        <w:t xml:space="preserve"> </w:t>
      </w:r>
      <w:r>
        <w:t xml:space="preserve">SDN</w:t>
      </w:r>
      <w:r>
        <w:t xml:space="preserve"> </w:t>
      </w:r>
      <w:r>
        <w:t xml:space="preserve">·</w:t>
      </w:r>
      <w:r>
        <w:t xml:space="preserve"> </w:t>
      </w:r>
      <w:r>
        <w:t xml:space="preserve">DNS</w:t>
      </w:r>
      <w:r>
        <w:t xml:space="preserve"> </w:t>
      </w:r>
      <w:r>
        <w:t xml:space="preserve">·</w:t>
      </w:r>
      <w:r>
        <w:t xml:space="preserve"> </w:t>
      </w:r>
      <w:r>
        <w:t xml:space="preserve">PKI</w:t>
      </w:r>
      <w:r>
        <w:t xml:space="preserve"> </w:t>
      </w:r>
      <w:r>
        <w:t xml:space="preserve">·</w:t>
      </w:r>
      <w:r>
        <w:t xml:space="preserve"> </w:t>
      </w:r>
      <w:r>
        <w:t xml:space="preserve">Zero</w:t>
      </w:r>
      <w:r>
        <w:t xml:space="preserve"> </w:t>
      </w:r>
      <w:r>
        <w:t xml:space="preserve">Trust</w:t>
      </w:r>
      <w:r>
        <w:t xml:space="preserve"> </w:t>
      </w:r>
      <w:r>
        <w:t xml:space="preserve">—</w:t>
      </w:r>
      <w:r>
        <w:t xml:space="preserve"> </w:t>
      </w:r>
      <w:r>
        <w:t xml:space="preserve">InfoBlox</w:t>
      </w:r>
      <w:r>
        <w:t xml:space="preserve"> </w:t>
      </w:r>
      <w:r>
        <w:t xml:space="preserve">DDI</w:t>
      </w:r>
      <w:r>
        <w:t xml:space="preserve"> </w:t>
      </w:r>
      <w:r>
        <w:t xml:space="preserve">Alignment</w:t>
      </w:r>
      <w:r>
        <w:t xml:space="preserve"> </w:t>
      </w:r>
      <w:r>
        <w:t xml:space="preserve">to</w:t>
      </w:r>
      <w:r>
        <w:t xml:space="preserve"> </w:t>
      </w:r>
      <w:r>
        <w:t xml:space="preserve">NIST,</w:t>
      </w:r>
      <w:r>
        <w:t xml:space="preserve"> </w:t>
      </w:r>
      <w:r>
        <w:t xml:space="preserve">CISA,</w:t>
      </w:r>
      <w:r>
        <w:t xml:space="preserve"> </w:t>
      </w:r>
      <w:r>
        <w:t xml:space="preserve">and</w:t>
      </w:r>
      <w:r>
        <w:t xml:space="preserve"> </w:t>
      </w:r>
      <w:r>
        <w:t xml:space="preserve">FedRAMP</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June</w:t>
      </w:r>
      <w:r>
        <w:t xml:space="preserve"> </w:t>
      </w:r>
      <w:r>
        <w:t xml:space="preserve">29,</w:t>
      </w:r>
      <w:r>
        <w:t xml:space="preserve"> </w:t>
      </w:r>
      <w:r>
        <w:t xml:space="preserve">2026</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r>
        <w:pict>
          <v:rect style="width:0;height:1.5pt" o:hralign="center" o:hrstd="t" o:hr="t"/>
        </w:pict>
      </w:r>
    </w:p>
    <w:bookmarkStart w:id="21"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Cs/>
          <w:b/>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Cs/>
          <w:b/>
        </w:rPr>
        <w:t xml:space="preserve">The three business outcomes this document demonstrates:</w:t>
      </w:r>
    </w:p>
    <w:p>
      <w:pPr>
        <w:pStyle w:val="BodyText"/>
      </w:pPr>
      <w:r>
        <w:rPr>
          <w:bCs/>
          <w:b/>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Cs/>
          <w:b/>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Cs/>
          <w:b/>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Cs/>
          <w:b/>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Cs/>
          <w:i/>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Cs/>
          <w:b/>
        </w:rPr>
        <w:t xml:space="preserve">Path A — BloxOne DDI (Cloud-Managed, FedRAMP ATO Inherited)</w:t>
      </w:r>
    </w:p>
    <w:p>
      <w:pPr>
        <w:pStyle w:val="BodyText"/>
      </w:pPr>
      <w:r>
        <w:t xml:space="preserve">InfoBlox operates the management control plane on AWS GovCloud (CSO FR2017257053, authorized January 2023).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Cs/>
          <w:b/>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Cs/>
          <w:b/>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r>
        <w:pict>
          <v:rect style="width:0;height:1.5pt" o:hralign="center" o:hrstd="t" o:hr="t"/>
        </w:pict>
      </w:r>
    </w:p>
    <w:bookmarkEnd w:id="21"/>
    <w:bookmarkStart w:id="32" w:name="sec-landing-zone"/>
    <w:p>
      <w:pPr>
        <w:pStyle w:val="Heading2"/>
      </w:pPr>
      <w:r>
        <w:t xml:space="preserve">What Is a Federal Cloud Landing Zone?</w:t>
      </w:r>
    </w:p>
    <w:p>
      <w:pPr>
        <w:pStyle w:val="FirstParagraph"/>
      </w:pPr>
      <w:r>
        <w:t xml:space="preserve">A Cloud Landing Zone is the foundational, pre-configured environment that a federal agency provisions</w:t>
      </w:r>
      <w:r>
        <w:t xml:space="preserve"> </w:t>
      </w:r>
      <w:r>
        <w:rPr>
          <w:iCs/>
          <w:i/>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numPr>
          <w:ilvl w:val="0"/>
          <w:numId w:val="1001"/>
        </w:numPr>
        <w:pStyle w:val="Compact"/>
      </w:pPr>
      <w:r>
        <w:rPr>
          <w:bCs/>
          <w:b/>
        </w:rPr>
        <w:t xml:space="preserve">NIST SP 800-53 Rev 5</w:t>
      </w:r>
      <w:r>
        <w:t xml:space="preserve"> </w:t>
      </w:r>
      <w:r>
        <w:t xml:space="preserve">— the control catalog from which FedRAMP Moderate baselines are drawn</w:t>
      </w:r>
    </w:p>
    <w:p>
      <w:pPr>
        <w:numPr>
          <w:ilvl w:val="0"/>
          <w:numId w:val="1001"/>
        </w:numPr>
        <w:pStyle w:val="Compact"/>
      </w:pPr>
      <w:r>
        <w:rPr>
          <w:bCs/>
          <w:b/>
        </w:rPr>
        <w:t xml:space="preserve">CISA Zero Trust Maturity Model v2.0</w:t>
      </w:r>
      <w:r>
        <w:t xml:space="preserve"> </w:t>
      </w:r>
      <w:r>
        <w:t xml:space="preserve">— five pillars with three cross-cutting capabilities</w:t>
      </w:r>
    </w:p>
    <w:p>
      <w:pPr>
        <w:numPr>
          <w:ilvl w:val="0"/>
          <w:numId w:val="1001"/>
        </w:numPr>
        <w:pStyle w:val="Compact"/>
      </w:pPr>
      <w:r>
        <w:rPr>
          <w:bCs/>
          <w:b/>
        </w:rPr>
        <w:t xml:space="preserve">FedRAMP Moderate</w:t>
      </w:r>
      <w:r>
        <w:t xml:space="preserve"> </w:t>
      </w:r>
      <w:r>
        <w:t xml:space="preserve">— boundary definition, continuous monitoring, evidence packaging</w:t>
      </w:r>
    </w:p>
    <w:p>
      <w:pPr>
        <w:numPr>
          <w:ilvl w:val="0"/>
          <w:numId w:val="1001"/>
        </w:numPr>
        <w:pStyle w:val="Compact"/>
      </w:pPr>
      <w:r>
        <w:rPr>
          <w:bCs/>
          <w:b/>
        </w:rPr>
        <w:t xml:space="preserve">FedRAMP 20x Consolidated Rules (2026)</w:t>
      </w:r>
      <w:r>
        <w:t xml:space="preserve"> </w:t>
      </w:r>
      <w:r>
        <w:t xml:space="preserve">— automated, machine-readable compliance evidence enforced by infrastructure-as-code; Class A/B/C certification pipelines; mandatory January 1, 2027</w:t>
      </w:r>
    </w:p>
    <w:p>
      <w:pPr>
        <w:pStyle w:val="FirstParagraph"/>
      </w:pPr>
      <w:r>
        <w:rPr>
          <w:bCs/>
          <w:b/>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Cs/>
          <w:b/>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pPr>
        <w:pStyle w:val="CaptionedFigure"/>
      </w:pPr>
      <w:r>
        <w:drawing>
          <wp:inline>
            <wp:extent cx="5334000" cy="2963333"/>
            <wp:effectExtent b="0" l="0" r="0" t="0"/>
            <wp:docPr descr="FedRAMP 20x Consolidated Rules for 2026 — Class Timelines and Key Dates" title="" id="23" name="Picture"/>
            <a:graphic>
              <a:graphicData uri="http://schemas.openxmlformats.org/drawingml/2006/picture">
                <pic:pic>
                  <pic:nvPicPr>
                    <pic:cNvPr descr="figs/lz-fig-10-fedramp-20x.png" id="24" name="Picture"/>
                    <pic:cNvPicPr>
                      <a:picLocks noChangeArrowheads="1" noChangeAspect="1"/>
                    </pic:cNvPicPr>
                  </pic:nvPicPr>
                  <pic:blipFill>
                    <a:blip r:embed="rId2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p>
      <w:pPr>
        <w:pStyle w:val="BodyText"/>
      </w:pPr>
      <w:r>
        <w:rPr>
          <w:bCs/>
          <w:b/>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bookmarkStart w:id="31" w:name="sec-scope"/>
    <w:p>
      <w:pPr>
        <w:pStyle w:val="Heading3"/>
      </w:pPr>
      <w:r>
        <w:t xml:space="preserve">SSA’s Multi-Cloud Landing Zone Scope</w:t>
      </w:r>
    </w:p>
    <w:p>
      <w:pPr>
        <w:pStyle w:val="CaptionedFigure"/>
      </w:pPr>
      <w:r>
        <w:drawing>
          <wp:inline>
            <wp:extent cx="5334000" cy="2963333"/>
            <wp:effectExtent b="0" l="0" r="0" t="0"/>
            <wp:docPr descr="Four Environments — Blind Islands vs. Unified InfoBlox Visibility" title="" id="26" name="Picture"/>
            <a:graphic>
              <a:graphicData uri="http://schemas.openxmlformats.org/drawingml/2006/picture">
                <pic:pic>
                  <pic:nvPicPr>
                    <pic:cNvPr descr="figs/lz-fig-12-four-env.png" id="27" name="Picture"/>
                    <pic:cNvPicPr>
                      <a:picLocks noChangeArrowheads="1" noChangeAspect="1"/>
                    </pic:cNvPicPr>
                  </pic:nvPicPr>
                  <pic:blipFill>
                    <a:blip r:embed="rId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9" name="Picture"/>
            <a:graphic>
              <a:graphicData uri="http://schemas.openxmlformats.org/drawingml/2006/picture">
                <pic:pic>
                  <pic:nvPicPr>
                    <pic:cNvPr descr="figs/lz-fig-01-control-hub.png" id="30" name="Picture"/>
                    <pic:cNvPicPr>
                      <a:picLocks noChangeArrowheads="1" noChangeAspect="1"/>
                    </pic:cNvPicPr>
                  </pic:nvPicPr>
                  <pic:blipFill>
                    <a:blip r:embed="rId2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 {.striped .hover}</w:t>
      </w:r>
    </w:p>
    <w:tbl>
      <w:tblPr>
        <w:tblStyle w:val="Table"/>
        <w:tblW w:type="pct" w:w="5000"/>
        <w:tblLook w:firstRow="1" w:lastRow="0" w:firstColumn="0" w:lastColumn="0" w:noHBand="0" w:noVBand="0" w:val="0020"/>
        <w:jc w:val="start"/>
        <w:tblCaption w:val="SSA Multi-Cloud Environments {.striped .hover}"/>
      </w:tblPr>
      <w:tblGrid>
        <w:gridCol w:w="1584"/>
        <w:gridCol w:w="1584"/>
        <w:gridCol w:w="1584"/>
        <w:gridCol w:w="1584"/>
        <w:gridCol w:w="1584"/>
      </w:tblGrid>
      <w:tr>
        <w:trPr>
          <w:tblHeader w:val="true"/>
        </w:trPr>
        <w:tc>
          <w:tcPr/>
          <w:p>
            <w:pPr>
              <w:pStyle w:val="Compact"/>
              <w:jc w:val="left"/>
            </w:pPr>
            <w:r>
              <w:t xml:space="preserve">Environment</w:t>
            </w:r>
          </w:p>
        </w:tc>
        <w:tc>
          <w:tcPr/>
          <w:p>
            <w:pPr>
              <w:pStyle w:val="Compact"/>
              <w:jc w:val="left"/>
            </w:pPr>
            <w:r>
              <w:t xml:space="preserve">Platform</w:t>
            </w:r>
          </w:p>
        </w:tc>
        <w:tc>
          <w:tcPr/>
          <w:p>
            <w:pPr>
              <w:pStyle w:val="Compact"/>
              <w:jc w:val="left"/>
            </w:pPr>
            <w:r>
              <w:t xml:space="preserve">SDN Technology</w:t>
            </w:r>
          </w:p>
        </w:tc>
        <w:tc>
          <w:tcPr/>
          <w:p>
            <w:pPr>
              <w:pStyle w:val="Compact"/>
              <w:jc w:val="left"/>
            </w:pPr>
            <w:r>
              <w:t xml:space="preserve">DHCP/IP Model</w:t>
            </w:r>
          </w:p>
        </w:tc>
        <w:tc>
          <w:tcPr/>
          <w:p>
            <w:pPr>
              <w:pStyle w:val="Compact"/>
              <w:jc w:val="left"/>
            </w:pPr>
            <w:r>
              <w:t xml:space="preserve">FedRAMP Boundary</w:t>
            </w:r>
          </w:p>
        </w:tc>
      </w:tr>
      <w:tr>
        <w:tc>
          <w:tcPr/>
          <w:p>
            <w:pPr>
              <w:pStyle w:val="Compact"/>
              <w:jc w:val="left"/>
            </w:pPr>
            <w:r>
              <w:t xml:space="preserve">On-Premises DC</w:t>
            </w:r>
          </w:p>
        </w:tc>
        <w:tc>
          <w:tcPr/>
          <w:p>
            <w:pPr>
              <w:pStyle w:val="Compact"/>
              <w:jc w:val="left"/>
            </w:pPr>
            <w:r>
              <w:t xml:space="preserve">VMware VCF / ESXi</w:t>
            </w:r>
          </w:p>
        </w:tc>
        <w:tc>
          <w:tcPr/>
          <w:p>
            <w:pPr>
              <w:pStyle w:val="Compact"/>
              <w:jc w:val="left"/>
            </w:pPr>
            <w:r>
              <w:t xml:space="preserve">NSX-T overlay (VXLAN/Geneve)</w:t>
            </w:r>
          </w:p>
        </w:tc>
        <w:tc>
          <w:tcPr/>
          <w:p>
            <w:pPr>
              <w:pStyle w:val="Compact"/>
              <w:jc w:val="left"/>
            </w:pPr>
            <w:r>
              <w:t xml:space="preserve">NSX-T DHCP Server Profiles on T1/T0 Gateways</w:t>
            </w:r>
          </w:p>
        </w:tc>
        <w:tc>
          <w:tcPr/>
          <w:p>
            <w:pPr>
              <w:pStyle w:val="Compact"/>
              <w:jc w:val="left"/>
            </w:pPr>
            <w:r>
              <w:t xml:space="preserve">Agency ATO</w:t>
            </w:r>
          </w:p>
        </w:tc>
      </w:tr>
      <w:tr>
        <w:tc>
          <w:tcPr/>
          <w:p>
            <w:pPr>
              <w:pStyle w:val="Compact"/>
              <w:jc w:val="left"/>
            </w:pPr>
            <w:r>
              <w:t xml:space="preserve">Azure Government GCC</w:t>
            </w:r>
          </w:p>
        </w:tc>
        <w:tc>
          <w:tcPr/>
          <w:p>
            <w:pPr>
              <w:pStyle w:val="Compact"/>
              <w:jc w:val="left"/>
            </w:pPr>
            <w:r>
              <w:t xml:space="preserve">Microsoft Azure</w:t>
            </w:r>
          </w:p>
        </w:tc>
        <w:tc>
          <w:tcPr/>
          <w:p>
            <w:pPr>
              <w:pStyle w:val="Compact"/>
              <w:jc w:val="left"/>
            </w:pPr>
            <w:r>
              <w:t xml:space="preserve">Azure VNet (SDN fabric, no broadcast)</w:t>
            </w:r>
          </w:p>
        </w:tc>
        <w:tc>
          <w:tcPr/>
          <w:p>
            <w:pPr>
              <w:pStyle w:val="Compact"/>
              <w:jc w:val="left"/>
            </w:pPr>
            <w:r>
              <w:t xml:space="preserve">Azure fabric assigns IPs; DHCP is abstracted away</w:t>
            </w:r>
          </w:p>
        </w:tc>
        <w:tc>
          <w:tcPr/>
          <w:p>
            <w:pPr>
              <w:pStyle w:val="Compact"/>
              <w:jc w:val="left"/>
            </w:pPr>
            <w:r>
              <w:t xml:space="preserve">Azure Government FedRAMP High</w:t>
            </w:r>
          </w:p>
        </w:tc>
      </w:tr>
      <w:tr>
        <w:tc>
          <w:tcPr/>
          <w:p>
            <w:pPr>
              <w:pStyle w:val="Compact"/>
              <w:jc w:val="left"/>
            </w:pPr>
            <w:r>
              <w:t xml:space="preserve">AWS GovCloud</w:t>
            </w:r>
          </w:p>
        </w:tc>
        <w:tc>
          <w:tcPr/>
          <w:p>
            <w:pPr>
              <w:pStyle w:val="Compact"/>
              <w:jc w:val="left"/>
            </w:pPr>
            <w:r>
              <w:t xml:space="preserve">Amazon AWS</w:t>
            </w:r>
          </w:p>
        </w:tc>
        <w:tc>
          <w:tcPr/>
          <w:p>
            <w:pPr>
              <w:pStyle w:val="Compact"/>
              <w:jc w:val="left"/>
            </w:pPr>
            <w:r>
              <w:t xml:space="preserve">VPC with ENI/Nitro hypervisor</w:t>
            </w:r>
          </w:p>
        </w:tc>
        <w:tc>
          <w:tcPr/>
          <w:p>
            <w:pPr>
              <w:pStyle w:val="Compact"/>
              <w:jc w:val="left"/>
            </w:pPr>
            <w:r>
              <w:t xml:space="preserve">VPC DHCP Options Sets; EC2 metadata service</w:t>
            </w:r>
          </w:p>
        </w:tc>
        <w:tc>
          <w:tcPr/>
          <w:p>
            <w:pPr>
              <w:pStyle w:val="Compact"/>
              <w:jc w:val="left"/>
            </w:pPr>
            <w:r>
              <w:t xml:space="preserve">AWS GovCloud FedRAMP High</w:t>
            </w:r>
          </w:p>
        </w:tc>
      </w:tr>
      <w:tr>
        <w:tc>
          <w:tcPr/>
          <w:p>
            <w:pPr>
              <w:pStyle w:val="Compact"/>
              <w:jc w:val="left"/>
            </w:pPr>
            <w:r>
              <w:t xml:space="preserve">Oracle Cloud OCI (OPM HRIT)</w:t>
            </w:r>
          </w:p>
        </w:tc>
        <w:tc>
          <w:tcPr/>
          <w:p>
            <w:pPr>
              <w:pStyle w:val="Compact"/>
              <w:jc w:val="left"/>
            </w:pPr>
            <w:r>
              <w:t xml:space="preserve">Oracle OCI</w:t>
            </w:r>
          </w:p>
        </w:tc>
        <w:tc>
          <w:tcPr/>
          <w:p>
            <w:pPr>
              <w:pStyle w:val="Compact"/>
              <w:jc w:val="left"/>
            </w:pPr>
            <w:r>
              <w:t xml:space="preserve">VCN with VNIC overlay</w:t>
            </w:r>
          </w:p>
        </w:tc>
        <w:tc>
          <w:tcPr/>
          <w:p>
            <w:pPr>
              <w:pStyle w:val="Compact"/>
              <w:jc w:val="left"/>
            </w:pPr>
            <w:r>
              <w:t xml:space="preserve">OCI DHCP options; instance metadata at 169.254.169.254</w:t>
            </w:r>
          </w:p>
        </w:tc>
        <w:tc>
          <w:tcPr/>
          <w:p>
            <w:pPr>
              <w:pStyle w:val="Compact"/>
              <w:jc w:val="left"/>
            </w:pPr>
            <w:r>
              <w:t xml:space="preserve">OPM ATO (external)</w:t>
            </w:r>
          </w:p>
        </w:tc>
      </w:tr>
    </w:tbl>
    <w:p>
      <w:pPr>
        <w:pStyle w:val="BodyText"/>
      </w:pPr>
      <w:r>
        <w:t xml:space="preserve">The critical observation:</w:t>
      </w:r>
      <w:r>
        <w:t xml:space="preserve"> </w:t>
      </w:r>
      <w:r>
        <w:rPr>
          <w:bCs/>
          <w:b/>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31"/>
    <w:bookmarkEnd w:id="32"/>
    <w:bookmarkStart w:id="43" w:name="sec-sdn"/>
    <w:p>
      <w:pPr>
        <w:pStyle w:val="Heading2"/>
      </w:pPr>
      <w:r>
        <w:t xml:space="preserve">SDN and the End of Traditional DHCP</w:t>
      </w:r>
    </w:p>
    <w:p>
      <w:pPr>
        <w:pStyle w:val="CaptionedFigure"/>
      </w:pPr>
      <w:r>
        <w:drawing>
          <wp:inline>
            <wp:extent cx="5334000" cy="2963333"/>
            <wp:effectExtent b="0" l="0" r="0" t="0"/>
            <wp:docPr descr="DNS Query Journey: InfoBlox RPZ Enforcement Gate" title="" id="34" name="Picture"/>
            <a:graphic>
              <a:graphicData uri="http://schemas.openxmlformats.org/drawingml/2006/picture">
                <pic:pic>
                  <pic:nvPicPr>
                    <pic:cNvPr descr="figs/lz-fig-08-dns-journey.png" id="35" name="Picture"/>
                    <pic:cNvPicPr>
                      <a:picLocks noChangeArrowheads="1" noChangeAspect="1"/>
                    </pic:cNvPicPr>
                  </pic:nvPicPr>
                  <pic:blipFill>
                    <a:blip r:embed="rId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7" name="Picture"/>
            <a:graphic>
              <a:graphicData uri="http://schemas.openxmlformats.org/drawingml/2006/picture">
                <pic:pic>
                  <pic:nvPicPr>
                    <pic:cNvPr descr="figs/lz-fig-02-sdn-dhcp.png" id="38" name="Picture"/>
                    <pic:cNvPicPr>
                      <a:picLocks noChangeArrowheads="1" noChangeAspect="1"/>
                    </pic:cNvPicPr>
                  </pic:nvPicPr>
                  <pic:blipFill>
                    <a:blip r:embed="rId3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9" w:name="sec-nsx"/>
    <w:p>
      <w:pPr>
        <w:pStyle w:val="Heading3"/>
      </w:pPr>
      <w:r>
        <w:t xml:space="preserve">VMware NSX-T: DHCP Server Profiles and VCF 9.1 Native Integration</w:t>
      </w:r>
    </w:p>
    <w:p>
      <w:pPr>
        <w:pStyle w:val="FirstParagraph"/>
      </w:pPr>
      <w:r>
        <w:t xml:space="preserve">VMware NSX-T replaces broadcast DHCP with</w:t>
      </w:r>
      <w:r>
        <w:t xml:space="preserve"> </w:t>
      </w:r>
      <w:r>
        <w:rPr>
          <w:bCs/>
          <w:b/>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Cs/>
          <w:b/>
        </w:rPr>
        <w:t xml:space="preserve">9.1</w:t>
      </w:r>
      <w:r>
        <w:t xml:space="preserve"> </w:t>
      </w:r>
      <w:r>
        <w:t xml:space="preserve">(released May 2026) introduced native InfoBlox DDI integration as a first-class feature:</w:t>
      </w:r>
    </w:p>
    <w:p>
      <w:pPr>
        <w:numPr>
          <w:ilvl w:val="0"/>
          <w:numId w:val="1002"/>
        </w:numPr>
        <w:pStyle w:val="Compact"/>
      </w:pPr>
      <w:r>
        <w:t xml:space="preserve">VCF Automation tenant requests a new network segment</w:t>
      </w:r>
    </w:p>
    <w:p>
      <w:pPr>
        <w:numPr>
          <w:ilvl w:val="0"/>
          <w:numId w:val="1002"/>
        </w:numPr>
        <w:pStyle w:val="Compact"/>
      </w:pPr>
      <w:r>
        <w:t xml:space="preserve">VCF background service calls InfoBlox NIOS WAPI or BloxOne REST API to reserve an IP block</w:t>
      </w:r>
    </w:p>
    <w:p>
      <w:pPr>
        <w:numPr>
          <w:ilvl w:val="0"/>
          <w:numId w:val="1002"/>
        </w:numPr>
        <w:pStyle w:val="Compact"/>
      </w:pPr>
      <w:r>
        <w:t xml:space="preserve">NSX-T creates the logical segment using the InfoBlox-allocated CIDR</w:t>
      </w:r>
    </w:p>
    <w:p>
      <w:pPr>
        <w:numPr>
          <w:ilvl w:val="0"/>
          <w:numId w:val="1002"/>
        </w:numPr>
        <w:pStyle w:val="Compact"/>
      </w:pPr>
      <w:r>
        <w:t xml:space="preserve">InfoBlox records the segment name, CIDR, VLAN/VNI, and tenant as extensible attributes</w:t>
      </w:r>
    </w:p>
    <w:p>
      <w:pPr>
        <w:numPr>
          <w:ilvl w:val="0"/>
          <w:numId w:val="1002"/>
        </w:numPr>
        <w:pStyle w:val="Compact"/>
      </w:pPr>
      <w:r>
        <w:t xml:space="preserve">When VMs deploy, NSX-T DHCP assigns IPs; InfoBlox receives assignments via the IPAM plugin</w:t>
      </w:r>
    </w:p>
    <w:p>
      <w:pPr>
        <w:numPr>
          <w:ilvl w:val="0"/>
          <w:numId w:val="1002"/>
        </w:numPr>
        <w:pStyle w:val="Compact"/>
      </w:pPr>
      <w:r>
        <w:t xml:space="preserve">DNS A/PTR records for each VM are created automatically — no manual DNS entry required</w:t>
      </w:r>
    </w:p>
    <w:p>
      <w:pPr>
        <w:pStyle w:val="FirstParagraph"/>
      </w:pPr>
      <w:r>
        <w:rPr>
          <w:bCs/>
          <w:b/>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bookmarkEnd w:id="39"/>
    <w:bookmarkStart w:id="40" w:name="sec-azure"/>
    <w:p>
      <w:pPr>
        <w:pStyle w:val="Heading3"/>
      </w:pPr>
      <w:r>
        <w:t xml:space="preserve">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Cs/>
          <w:b/>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40"/>
    <w:bookmarkStart w:id="41" w:name="sec-aws-dhcp"/>
    <w:p>
      <w:pPr>
        <w:pStyle w:val="Heading3"/>
      </w:pPr>
      <w:r>
        <w:t xml:space="preserve">AWS GovCloud: VPC DHCP Options and the Nitro Hypervisor</w:t>
      </w:r>
    </w:p>
    <w:p>
      <w:pPr>
        <w:pStyle w:val="FirstParagraph"/>
      </w:pPr>
      <w:r>
        <w:t xml:space="preserve">AWS VPCs use</w:t>
      </w:r>
      <w:r>
        <w:t xml:space="preserve"> </w:t>
      </w:r>
      <w:r>
        <w:rPr>
          <w:bCs/>
          <w:b/>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Cs/>
          <w:b/>
        </w:rPr>
        <w:t xml:space="preserve">AWS connector</w:t>
      </w:r>
      <w:r>
        <w:t xml:space="preserve"> </w:t>
      </w:r>
      <w:r>
        <w:t xml:space="preserve">syncs EC2 instance IP assignments, subnet CIDRs, and VPC IPAM pool allocations into the AWS-GovCloud Network View.</w:t>
      </w:r>
    </w:p>
    <w:bookmarkEnd w:id="41"/>
    <w:bookmarkStart w:id="42" w:name="sec-oci-dhcp"/>
    <w:p>
      <w:pPr>
        <w:pStyle w:val="Heading3"/>
      </w:pPr>
      <w:r>
        <w:t xml:space="preserve">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2"/>
    <w:bookmarkEnd w:id="43"/>
    <w:bookmarkStart w:id="72" w:name="sec-infoblox"/>
    <w:p>
      <w:pPr>
        <w:pStyle w:val="Heading2"/>
      </w:pPr>
      <w:r>
        <w:t xml:space="preserve">InfoBlox as the SDN-Aware IPAM Control Plane</w:t>
      </w:r>
    </w:p>
    <w:p>
      <w:pPr>
        <w:pStyle w:val="FirstParagraph"/>
      </w:pPr>
      <w:r>
        <w:t xml:space="preserve">InfoBlox DDI operates as a</w:t>
      </w:r>
      <w:r>
        <w:t xml:space="preserve"> </w:t>
      </w:r>
      <w:r>
        <w:rPr>
          <w:bCs/>
          <w:b/>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5" name="Picture"/>
            <a:graphic>
              <a:graphicData uri="http://schemas.openxmlformats.org/drawingml/2006/picture">
                <pic:pic>
                  <pic:nvPicPr>
                    <pic:cNvPr descr="figs/lz-fig-19-legacy-modern-ipam.png" id="46" name="Picture"/>
                    <pic:cNvPicPr>
                      <a:picLocks noChangeArrowheads="1" noChangeAspect="1"/>
                    </pic:cNvPicPr>
                  </pic:nvPicPr>
                  <pic:blipFill>
                    <a:blip r:embed="rId44"/>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7" w:name="sec-value"/>
    <w:p>
      <w:pPr>
        <w:pStyle w:val="Heading3"/>
      </w:pPr>
      <w:r>
        <w:t xml:space="preserve">What InfoBlox Provides That SDN Cannot</w:t>
      </w:r>
    </w:p>
    <w:p>
      <w:pPr>
        <w:pStyle w:val="TableCaption"/>
      </w:pPr>
      <w:r>
        <w:t xml:space="preserve">InfoBlox Value-Add Over Native SDN {.striped .hover}</w:t>
      </w:r>
    </w:p>
    <w:tbl>
      <w:tblPr>
        <w:tblStyle w:val="Table"/>
        <w:tblW w:type="pct" w:w="5000"/>
        <w:tblLook w:firstRow="1" w:lastRow="0" w:firstColumn="0" w:lastColumn="0" w:noHBand="0" w:noVBand="0" w:val="0020"/>
        <w:jc w:val="start"/>
        <w:tblCaption w:val="InfoBlox Value-Add Over Native SDN {.striped .hover}"/>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What SDN Platforms Provide</w:t>
            </w:r>
          </w:p>
        </w:tc>
        <w:tc>
          <w:tcPr/>
          <w:p>
            <w:pPr>
              <w:pStyle w:val="Compact"/>
              <w:jc w:val="left"/>
            </w:pPr>
            <w:r>
              <w:t xml:space="preserve">What InfoBlox Adds</w:t>
            </w:r>
          </w:p>
        </w:tc>
      </w:tr>
      <w:tr>
        <w:tc>
          <w:tcPr/>
          <w:p>
            <w:pPr>
              <w:pStyle w:val="Compact"/>
              <w:jc w:val="left"/>
            </w:pPr>
            <w:r>
              <w:t xml:space="preserve">IP assignment</w:t>
            </w:r>
          </w:p>
        </w:tc>
        <w:tc>
          <w:tcPr/>
          <w:p>
            <w:pPr>
              <w:pStyle w:val="Compact"/>
              <w:jc w:val="left"/>
            </w:pPr>
            <w:r>
              <w:t xml:space="preserve">Per-environment only</w:t>
            </w:r>
          </w:p>
        </w:tc>
        <w:tc>
          <w:tcPr/>
          <w:p>
            <w:pPr>
              <w:pStyle w:val="Compact"/>
              <w:jc w:val="left"/>
            </w:pPr>
            <w:r>
              <w:t xml:space="preserve">Cross-cloud conflict detection before allocation</w:t>
            </w:r>
          </w:p>
        </w:tc>
      </w:tr>
      <w:tr>
        <w:tc>
          <w:tcPr/>
          <w:p>
            <w:pPr>
              <w:pStyle w:val="Compact"/>
              <w:jc w:val="left"/>
            </w:pPr>
            <w:r>
              <w:t xml:space="preserve">DNS</w:t>
            </w:r>
          </w:p>
        </w:tc>
        <w:tc>
          <w:tcPr/>
          <w:p>
            <w:pPr>
              <w:pStyle w:val="Compact"/>
              <w:jc w:val="left"/>
            </w:pPr>
            <w:r>
              <w:t xml:space="preserve">Per-environment resolver</w:t>
            </w:r>
          </w:p>
        </w:tc>
        <w:tc>
          <w:tcPr/>
          <w:p>
            <w:pPr>
              <w:pStyle w:val="Compact"/>
              <w:jc w:val="left"/>
            </w:pPr>
            <w:r>
              <w:t xml:space="preserve">Authoritative + recursive with DNSSEC, unified across all four</w:t>
            </w:r>
          </w:p>
        </w:tc>
      </w:tr>
      <w:tr>
        <w:tc>
          <w:tcPr/>
          <w:p>
            <w:pPr>
              <w:pStyle w:val="Compact"/>
              <w:jc w:val="left"/>
            </w:pPr>
            <w:r>
              <w:t xml:space="preserve">DHCP inventory</w:t>
            </w:r>
          </w:p>
        </w:tc>
        <w:tc>
          <w:tcPr/>
          <w:p>
            <w:pPr>
              <w:pStyle w:val="Compact"/>
              <w:jc w:val="left"/>
            </w:pPr>
            <w:r>
              <w:t xml:space="preserve">Per-VPC/VNet/segment dashboard</w:t>
            </w:r>
          </w:p>
        </w:tc>
        <w:tc>
          <w:tcPr/>
          <w:p>
            <w:pPr>
              <w:pStyle w:val="Compact"/>
              <w:jc w:val="left"/>
            </w:pPr>
            <w:r>
              <w:t xml:space="preserve">Single CM-8-ready inventory spanning all environments</w:t>
            </w:r>
          </w:p>
        </w:tc>
      </w:tr>
      <w:tr>
        <w:tc>
          <w:tcPr/>
          <w:p>
            <w:pPr>
              <w:pStyle w:val="Compact"/>
              <w:jc w:val="left"/>
            </w:pPr>
            <w:r>
              <w:t xml:space="preserve">Certificate management</w:t>
            </w:r>
          </w:p>
        </w:tc>
        <w:tc>
          <w:tcPr/>
          <w:p>
            <w:pPr>
              <w:pStyle w:val="Compact"/>
              <w:jc w:val="left"/>
            </w:pPr>
            <w:r>
              <w:t xml:space="preserve">None / per-CA</w:t>
            </w:r>
          </w:p>
        </w:tc>
        <w:tc>
          <w:tcPr/>
          <w:p>
            <w:pPr>
              <w:pStyle w:val="Compact"/>
              <w:jc w:val="left"/>
            </w:pPr>
            <w:r>
              <w:t xml:space="preserve">Certificate Tracker links cert to IP host record, expiry alerts</w:t>
            </w:r>
          </w:p>
        </w:tc>
      </w:tr>
      <w:tr>
        <w:tc>
          <w:tcPr/>
          <w:p>
            <w:pPr>
              <w:pStyle w:val="Compact"/>
              <w:jc w:val="left"/>
            </w:pPr>
            <w:r>
              <w:t xml:space="preserve">Threat blocking</w:t>
            </w:r>
          </w:p>
        </w:tc>
        <w:tc>
          <w:tcPr/>
          <w:p>
            <w:pPr>
              <w:pStyle w:val="Compact"/>
              <w:jc w:val="left"/>
            </w:pPr>
            <w:r>
              <w:t xml:space="preserve">Per-environment (DNS Firewall, NSG)</w:t>
            </w:r>
          </w:p>
        </w:tc>
        <w:tc>
          <w:tcPr/>
          <w:p>
            <w:pPr>
              <w:pStyle w:val="Compact"/>
              <w:jc w:val="left"/>
            </w:pPr>
            <w:r>
              <w:t xml:space="preserve">Single RPZ policy propagated to all Grid Members in seconds</w:t>
            </w:r>
          </w:p>
        </w:tc>
      </w:tr>
      <w:tr>
        <w:tc>
          <w:tcPr/>
          <w:p>
            <w:pPr>
              <w:pStyle w:val="Compact"/>
              <w:jc w:val="left"/>
            </w:pPr>
            <w:r>
              <w:t xml:space="preserve">Audit logging</w:t>
            </w:r>
          </w:p>
        </w:tc>
        <w:tc>
          <w:tcPr/>
          <w:p>
            <w:pPr>
              <w:pStyle w:val="Compact"/>
              <w:jc w:val="left"/>
            </w:pPr>
            <w:r>
              <w:t xml:space="preserve">Per-environment log silo</w:t>
            </w:r>
          </w:p>
        </w:tc>
        <w:tc>
          <w:tcPr/>
          <w:p>
            <w:pPr>
              <w:pStyle w:val="Compact"/>
              <w:jc w:val="left"/>
            </w:pPr>
            <w:r>
              <w:t xml:space="preserve">Single syslog stream to SIEM, AU-12 evidence</w:t>
            </w:r>
          </w:p>
        </w:tc>
      </w:tr>
      <w:tr>
        <w:tc>
          <w:tcPr/>
          <w:p>
            <w:pPr>
              <w:pStyle w:val="Compact"/>
              <w:jc w:val="left"/>
            </w:pPr>
            <w:r>
              <w:t xml:space="preserve">IaC integration</w:t>
            </w:r>
          </w:p>
        </w:tc>
        <w:tc>
          <w:tcPr/>
          <w:p>
            <w:pPr>
              <w:pStyle w:val="Compact"/>
              <w:jc w:val="left"/>
            </w:pPr>
            <w:r>
              <w:t xml:space="preserve">Per-cloud provider only</w:t>
            </w:r>
          </w:p>
        </w:tc>
        <w:tc>
          <w:tcPr/>
          <w:p>
            <w:pPr>
              <w:pStyle w:val="Compact"/>
              <w:jc w:val="left"/>
            </w:pPr>
            <w:r>
              <w:t xml:space="preserve">Terraform InfoBlox provider works across all environments</w:t>
            </w:r>
          </w:p>
        </w:tc>
      </w:tr>
    </w:tbl>
    <w:bookmarkEnd w:id="47"/>
    <w:bookmarkStart w:id="51" w:name="sec-gridmaster-trust"/>
    <w:p>
      <w:pPr>
        <w:pStyle w:val="Heading3"/>
      </w:pPr>
      <w:r>
        <w:t xml:space="preserve">Grid Master Deployment — On-Premises VMware and the Trust Case</w:t>
      </w:r>
    </w:p>
    <w:p>
      <w:pPr>
        <w:pStyle w:val="FirstParagraph"/>
      </w:pPr>
      <w:r>
        <w:t xml:space="preserve">For SSA, the InfoBlox NIOS Grid Master should be deployed as a</w:t>
      </w:r>
      <w:r>
        <w:t xml:space="preserve"> </w:t>
      </w:r>
      <w:r>
        <w:rPr>
          <w:bCs/>
          <w:b/>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numPr>
          <w:ilvl w:val="0"/>
          <w:numId w:val="1003"/>
        </w:numPr>
        <w:pStyle w:val="Compact"/>
      </w:pPr>
      <w:r>
        <w:rPr>
          <w:bCs/>
          <w:b/>
        </w:rPr>
        <w:t xml:space="preserve">Hypervisor-layer control</w:t>
      </w:r>
      <w:r>
        <w:t xml:space="preserve"> </w:t>
      </w:r>
      <w:r>
        <w:t xml:space="preserve">— the Grid Master VM runs under SSA infrastructure team governance, not a cloud provider’s control plane</w:t>
      </w:r>
    </w:p>
    <w:p>
      <w:pPr>
        <w:numPr>
          <w:ilvl w:val="0"/>
          <w:numId w:val="1003"/>
        </w:numPr>
        <w:pStyle w:val="Compact"/>
      </w:pPr>
      <w:r>
        <w:rPr>
          <w:bCs/>
          <w:b/>
        </w:rPr>
        <w:t xml:space="preserve">Physical network isolation</w:t>
      </w:r>
      <w:r>
        <w:t xml:space="preserve"> </w:t>
      </w:r>
      <w:r>
        <w:t xml:space="preserve">— the master is reachable from all four environments via dedicated management interfaces, not via public internet or cloud-provider backbone</w:t>
      </w:r>
    </w:p>
    <w:p>
      <w:pPr>
        <w:numPr>
          <w:ilvl w:val="0"/>
          <w:numId w:val="1003"/>
        </w:numPr>
        <w:pStyle w:val="Compact"/>
      </w:pPr>
      <w:r>
        <w:rPr>
          <w:bCs/>
          <w:b/>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numPr>
          <w:ilvl w:val="0"/>
          <w:numId w:val="1003"/>
        </w:numPr>
        <w:pStyle w:val="Compact"/>
      </w:pPr>
      <w:r>
        <w:rPr>
          <w:bCs/>
          <w:b/>
        </w:rPr>
        <w:t xml:space="preserve">Boundary clarity</w:t>
      </w:r>
      <w:r>
        <w:t xml:space="preserve"> </w:t>
      </w:r>
      <w:r>
        <w:t xml:space="preserve">— the NIOS Grid falls within SSA’s own FedRAMP authorization boundary; the agency controls the ATO evidence rather than inheriting it from a vendor CSO</w:t>
      </w:r>
    </w:p>
    <w:p>
      <w:pPr>
        <w:pStyle w:val="FirstParagraph"/>
      </w:pPr>
      <w:r>
        <w:rPr>
          <w:bCs/>
          <w:b/>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r>
        <w:rPr>
          <w:bCs/>
          <w:b/>
        </w:rPr>
        <w:t xml:space="preserve">OIS and the CIO Office must validate the trust boundary decision and define the Grid Admin role-holder accountability model before the Grid is deployed.</w:t>
      </w:r>
    </w:p>
    <w:p>
      <w:pPr>
        <w:pStyle w:val="CaptionedFigure"/>
      </w:pPr>
      <w:r>
        <w:drawing>
          <wp:inline>
            <wp:extent cx="5334000" cy="2667000"/>
            <wp:effectExtent b="0" l="0" r="0" t="0"/>
            <wp:docPr descr="InfoBlox NIOS Grid Master — Least-Privilege Delegation Model" title="" id="49" name="Picture"/>
            <a:graphic>
              <a:graphicData uri="http://schemas.openxmlformats.org/drawingml/2006/picture">
                <pic:pic>
                  <pic:nvPicPr>
                    <pic:cNvPr descr="figs/lz-fig-20-ipam-delegation.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1"/>
    <w:bookmarkStart w:id="52" w:name="sec-ipam-delegation"/>
    <w:p>
      <w:pPr>
        <w:pStyle w:val="Heading3"/>
      </w:pPr>
      <w:r>
        <w:t xml:space="preserve">Least-Privilege Role Delegation</w:t>
      </w:r>
    </w:p>
    <w:p>
      <w:pPr>
        <w:pStyle w:val="FirstParagraph"/>
      </w:pPr>
      <w:r>
        <w:t xml:space="preserve">The Grid Master holds total administrative authority over DNS, DHCP, and IPAM. That authority</w:t>
      </w:r>
      <w:r>
        <w:t xml:space="preserve"> </w:t>
      </w:r>
      <w:r>
        <w:rPr>
          <w:bCs/>
          <w:b/>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 {.striped .hover}</w:t>
      </w:r>
    </w:p>
    <w:tbl>
      <w:tblPr>
        <w:tblStyle w:val="Table"/>
        <w:tblW w:type="pct" w:w="5000"/>
        <w:tblLook w:firstRow="1" w:lastRow="0" w:firstColumn="0" w:lastColumn="0" w:noHBand="0" w:noVBand="0" w:val="0020"/>
        <w:jc w:val="start"/>
        <w:tblCaption w:val="InfoBlox Least-Privilege Role Delegation {.striped .hover}"/>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Delegated To</w:t>
            </w:r>
          </w:p>
        </w:tc>
        <w:tc>
          <w:tcPr/>
          <w:p>
            <w:pPr>
              <w:pStyle w:val="Compact"/>
              <w:jc w:val="left"/>
            </w:pPr>
            <w:r>
              <w:t xml:space="preserve">Scope</w:t>
            </w:r>
          </w:p>
        </w:tc>
        <w:tc>
          <w:tcPr/>
          <w:p>
            <w:pPr>
              <w:pStyle w:val="Compact"/>
              <w:jc w:val="left"/>
            </w:pPr>
            <w:r>
              <w:t xml:space="preserve">Cannot Access</w:t>
            </w:r>
          </w:p>
        </w:tc>
      </w:tr>
      <w:tr>
        <w:tc>
          <w:tcPr/>
          <w:p>
            <w:pPr>
              <w:pStyle w:val="Compact"/>
              <w:jc w:val="left"/>
            </w:pPr>
            <w:r>
              <w:rPr>
                <w:bCs/>
                <w:b/>
              </w:rPr>
              <w:t xml:space="preserve">DNS zone management</w:t>
            </w:r>
          </w:p>
        </w:tc>
        <w:tc>
          <w:tcPr/>
          <w:p>
            <w:pPr>
              <w:pStyle w:val="Compact"/>
              <w:jc w:val="left"/>
            </w:pPr>
            <w:r>
              <w:t xml:space="preserve">Network / DNS Team</w:t>
            </w:r>
          </w:p>
        </w:tc>
        <w:tc>
          <w:tcPr/>
          <w:p>
            <w:pPr>
              <w:pStyle w:val="Compact"/>
              <w:jc w:val="left"/>
            </w:pPr>
            <w:r>
              <w:t xml:space="preserve">Read/write on assigned DNS zones; DNSSEC key custody shared with OIS</w:t>
            </w:r>
          </w:p>
        </w:tc>
        <w:tc>
          <w:tcPr/>
          <w:p>
            <w:pPr>
              <w:pStyle w:val="Compact"/>
              <w:jc w:val="left"/>
            </w:pPr>
            <w:r>
              <w:t xml:space="preserve">Other CIO Component zones; DHCP config; SCEP triggers</w:t>
            </w:r>
          </w:p>
        </w:tc>
      </w:tr>
      <w:tr>
        <w:tc>
          <w:tcPr/>
          <w:p>
            <w:pPr>
              <w:pStyle w:val="Compact"/>
              <w:jc w:val="left"/>
            </w:pPr>
            <w:r>
              <w:rPr>
                <w:bCs/>
                <w:b/>
              </w:rPr>
              <w:t xml:space="preserve">DHCP scope management</w:t>
            </w:r>
          </w:p>
        </w:tc>
        <w:tc>
          <w:tcPr/>
          <w:p>
            <w:pPr>
              <w:pStyle w:val="Compact"/>
              <w:jc w:val="left"/>
            </w:pPr>
            <w:r>
              <w:t xml:space="preserve">Network Infrastructure Team</w:t>
            </w:r>
          </w:p>
        </w:tc>
        <w:tc>
          <w:tcPr/>
          <w:p>
            <w:pPr>
              <w:pStyle w:val="Compact"/>
              <w:jc w:val="left"/>
            </w:pPr>
            <w:r>
              <w:t xml:space="preserve">Read/write on assigned IP subnets and DHCP scopes</w:t>
            </w:r>
          </w:p>
        </w:tc>
        <w:tc>
          <w:tcPr/>
          <w:p>
            <w:pPr>
              <w:pStyle w:val="Compact"/>
              <w:jc w:val="left"/>
            </w:pPr>
            <w:r>
              <w:t xml:space="preserve">DNS zone records; other teams’ subnets; SCEP policy</w:t>
            </w:r>
          </w:p>
        </w:tc>
      </w:tr>
      <w:tr>
        <w:tc>
          <w:tcPr/>
          <w:p>
            <w:pPr>
              <w:pStyle w:val="Compact"/>
              <w:jc w:val="left"/>
            </w:pPr>
            <w:r>
              <w:rPr>
                <w:bCs/>
                <w:b/>
              </w:rPr>
              <w:t xml:space="preserve">SCEP / cert binding</w:t>
            </w:r>
          </w:p>
        </w:tc>
        <w:tc>
          <w:tcPr/>
          <w:p>
            <w:pPr>
              <w:pStyle w:val="Compact"/>
              <w:jc w:val="left"/>
            </w:pPr>
            <w:r>
              <w:t xml:space="preserve">OIS / PKI Team</w:t>
            </w:r>
          </w:p>
        </w:tc>
        <w:tc>
          <w:tcPr/>
          <w:p>
            <w:pPr>
              <w:pStyle w:val="Compact"/>
              <w:jc w:val="left"/>
            </w:pPr>
            <w:r>
              <w:t xml:space="preserve">Trigger SCEP enrollment at A-record creation; bind cert CN to DNS FQDN</w:t>
            </w:r>
          </w:p>
        </w:tc>
        <w:tc>
          <w:tcPr/>
          <w:p>
            <w:pPr>
              <w:pStyle w:val="Compact"/>
              <w:jc w:val="left"/>
            </w:pPr>
            <w:r>
              <w:t xml:space="preserve">Zone configuration; DHCP scopes; other teams’ cert policies</w:t>
            </w:r>
          </w:p>
        </w:tc>
      </w:tr>
      <w:tr>
        <w:tc>
          <w:tcPr/>
          <w:p>
            <w:pPr>
              <w:pStyle w:val="Compact"/>
              <w:jc w:val="left"/>
            </w:pPr>
            <w:r>
              <w:rPr>
                <w:bCs/>
                <w:b/>
              </w:rPr>
              <w:t xml:space="preserve">Cloud Grid Member management</w:t>
            </w:r>
          </w:p>
        </w:tc>
        <w:tc>
          <w:tcPr/>
          <w:p>
            <w:pPr>
              <w:pStyle w:val="Compact"/>
              <w:jc w:val="left"/>
            </w:pPr>
            <w:r>
              <w:t xml:space="preserve">Per-environment Cloud Infra Teams (AWS GovCloud, Azure Government, OCI)</w:t>
            </w:r>
          </w:p>
        </w:tc>
        <w:tc>
          <w:tcPr/>
          <w:p>
            <w:pPr>
              <w:pStyle w:val="Compact"/>
              <w:jc w:val="left"/>
            </w:pPr>
            <w:r>
              <w:t xml:space="preserve">Configure local Grid Member for assigned cloud environment</w:t>
            </w:r>
          </w:p>
        </w:tc>
        <w:tc>
          <w:tcPr/>
          <w:p>
            <w:pPr>
              <w:pStyle w:val="Compact"/>
              <w:jc w:val="left"/>
            </w:pPr>
            <w:r>
              <w:t xml:space="preserve">Grid Master policy; other environments’ Grid Members</w:t>
            </w:r>
          </w:p>
        </w:tc>
      </w:tr>
      <w:tr>
        <w:tc>
          <w:tcPr/>
          <w:p>
            <w:pPr>
              <w:pStyle w:val="Compact"/>
              <w:jc w:val="left"/>
            </w:pPr>
            <w:r>
              <w:rPr>
                <w:bCs/>
                <w:b/>
              </w:rPr>
              <w:t xml:space="preserve">Grid Admin (full authority)</w:t>
            </w:r>
          </w:p>
        </w:tc>
        <w:tc>
          <w:tcPr/>
          <w:p>
            <w:pPr>
              <w:pStyle w:val="Compact"/>
              <w:jc w:val="left"/>
            </w:pPr>
            <w:r>
              <w:t xml:space="preserve">CIO/OIS-designated Grid Administrator</w:t>
            </w:r>
          </w:p>
        </w:tc>
        <w:tc>
          <w:tcPr/>
          <w:p>
            <w:pPr>
              <w:pStyle w:val="Compact"/>
              <w:jc w:val="left"/>
            </w:pPr>
            <w:r>
              <w:t xml:space="preserve">Full DDI policy control</w:t>
            </w:r>
          </w:p>
        </w:tc>
        <w:tc>
          <w:tcPr/>
          <w:p>
            <w:pPr>
              <w:pStyle w:val="Compact"/>
              <w:jc w:val="left"/>
            </w:pPr>
            <w:r>
              <w:t xml:space="preserve">— (must be protected with MFA + privileged access workstation)</w:t>
            </w:r>
          </w:p>
        </w:tc>
      </w:tr>
    </w:tbl>
    <w:p>
      <w:pPr>
        <w:pStyle w:val="BodyText"/>
      </w:pPr>
      <w:r>
        <w:rPr>
          <w:bCs/>
          <w:b/>
        </w:rPr>
        <w:t xml:space="preserve">DNS function separation applies to sub-functions as well.</w:t>
      </w:r>
      <w:r>
        <w:t xml:space="preserve"> </w:t>
      </w:r>
      <w:r>
        <w:t xml:space="preserve">Within DNS zone management, component-level zone delegation allows different CIO Components to own their sub-namespaces:</w:t>
      </w:r>
    </w:p>
    <w:p>
      <w:pPr>
        <w:numPr>
          <w:ilvl w:val="0"/>
          <w:numId w:val="1004"/>
        </w:numPr>
        <w:pStyle w:val="Compact"/>
      </w:pPr>
      <w:r>
        <w:rPr>
          <w:rStyle w:val="VerbatimChar"/>
        </w:rPr>
        <w:t xml:space="preserve">aws.ssa.gov</w:t>
      </w:r>
      <w:r>
        <w:t xml:space="preserve"> </w:t>
      </w:r>
      <w:r>
        <w:t xml:space="preserve">sub-zone — delegated to Cloud Infrastructure team (AWS)</w:t>
      </w:r>
    </w:p>
    <w:p>
      <w:pPr>
        <w:numPr>
          <w:ilvl w:val="0"/>
          <w:numId w:val="1004"/>
        </w:numPr>
        <w:pStyle w:val="Compact"/>
      </w:pPr>
      <w:r>
        <w:rPr>
          <w:rStyle w:val="VerbatimChar"/>
        </w:rPr>
        <w:t xml:space="preserve">azure.ssa.gov</w:t>
      </w:r>
      <w:r>
        <w:t xml:space="preserve"> </w:t>
      </w:r>
      <w:r>
        <w:t xml:space="preserve">sub-zone — delegated to Cloud Infrastructure team (Azure)</w:t>
      </w:r>
    </w:p>
    <w:p>
      <w:pPr>
        <w:numPr>
          <w:ilvl w:val="0"/>
          <w:numId w:val="1004"/>
        </w:numPr>
        <w:pStyle w:val="Compact"/>
      </w:pPr>
      <w:r>
        <w:rPr>
          <w:rStyle w:val="VerbatimChar"/>
        </w:rPr>
        <w:t xml:space="preserve">oci.ssa.gov</w:t>
      </w:r>
      <w:r>
        <w:t xml:space="preserve"> </w:t>
      </w:r>
      <w:r>
        <w:t xml:space="preserve">sub-zone — delegated to Cloud Infrastructure team (OCI)</w:t>
      </w:r>
    </w:p>
    <w:p>
      <w:pPr>
        <w:numPr>
          <w:ilvl w:val="0"/>
          <w:numId w:val="1004"/>
        </w:numPr>
        <w:pStyle w:val="Compact"/>
      </w:pPr>
      <w:r>
        <w:rPr>
          <w:rStyle w:val="VerbatimChar"/>
        </w:rPr>
        <w:t xml:space="preserve">onprem.ssa.gov</w:t>
      </w:r>
      <w:r>
        <w:t xml:space="preserve"> </w:t>
      </w:r>
      <w:r>
        <w:t xml:space="preserve">sub-zone — delegated to on-premises Network Infrastructure team</w:t>
      </w:r>
    </w:p>
    <w:p>
      <w:pPr>
        <w:numPr>
          <w:ilvl w:val="0"/>
          <w:numId w:val="1004"/>
        </w:numPr>
        <w:pStyle w:val="Compact"/>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2"/>
    <w:bookmarkStart w:id="63" w:name="sec-microsoft"/>
    <w:p>
      <w:pPr>
        <w:pStyle w:val="Heading3"/>
      </w:pPr>
      <w:r>
        <w:t xml:space="preserve">Microsoft Partnership: M365 GCC Endpoint Lifecycle</w:t>
      </w:r>
    </w:p>
    <w:p>
      <w:pPr>
        <w:pStyle w:val="CaptionedFigure"/>
      </w:pPr>
      <w:r>
        <w:drawing>
          <wp:inline>
            <wp:extent cx="5334000" cy="3022600"/>
            <wp:effectExtent b="0" l="0" r="0" t="0"/>
            <wp:docPr descr="Microsoft × InfoBlox Technology Partnership — Six Integration Points" title="" id="54" name="Picture"/>
            <a:graphic>
              <a:graphicData uri="http://schemas.openxmlformats.org/drawingml/2006/picture">
                <pic:pic>
                  <pic:nvPicPr>
                    <pic:cNvPr descr="figs/lz-fig-03-ms-partnership.png" id="55" name="Picture"/>
                    <pic:cNvPicPr>
                      <a:picLocks noChangeArrowheads="1" noChangeAspect="1"/>
                    </pic:cNvPicPr>
                  </pic:nvPicPr>
                  <pic:blipFill>
                    <a:blip r:embed="rId53"/>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Cs/>
          <w:b/>
        </w:rPr>
        <w:t xml:space="preserve">Azure Technology Alliance Partnership</w:t>
      </w:r>
      <w:r>
        <w:t xml:space="preserve"> </w:t>
      </w:r>
      <w:r>
        <w:t xml:space="preserve">with six distinct integration points:</w:t>
      </w:r>
    </w:p>
    <w:p>
      <w:pPr>
        <w:pStyle w:val="TableCaption"/>
      </w:pPr>
      <w:r>
        <w:t xml:space="preserve">Microsoft-InfoBlox Integration Points {.striped .hover}</w:t>
      </w:r>
    </w:p>
    <w:tbl>
      <w:tblPr>
        <w:tblStyle w:val="Table"/>
        <w:tblW w:type="pct" w:w="5000"/>
        <w:tblLook w:firstRow="1" w:lastRow="0" w:firstColumn="0" w:lastColumn="0" w:noHBand="0" w:noVBand="0" w:val="0020"/>
        <w:jc w:val="start"/>
        <w:tblCaption w:val="Microsoft-InfoBlox Integration Points {.striped .hover}"/>
      </w:tblPr>
      <w:tblGrid>
        <w:gridCol w:w="3960"/>
        <w:gridCol w:w="3960"/>
      </w:tblGrid>
      <w:tr>
        <w:trPr>
          <w:tblHeader w:val="true"/>
        </w:trPr>
        <w:tc>
          <w:tcPr/>
          <w:p>
            <w:pPr>
              <w:pStyle w:val="Compact"/>
              <w:jc w:val="left"/>
            </w:pPr>
            <w:r>
              <w:t xml:space="preserve">Integration</w:t>
            </w:r>
          </w:p>
        </w:tc>
        <w:tc>
          <w:tcPr/>
          <w:p>
            <w:pPr>
              <w:pStyle w:val="Compact"/>
              <w:jc w:val="left"/>
            </w:pPr>
            <w:r>
              <w:t xml:space="preserve">What It Does</w:t>
            </w:r>
          </w:p>
        </w:tc>
      </w:tr>
      <w:tr>
        <w:tc>
          <w:tcPr/>
          <w:p>
            <w:pPr>
              <w:pStyle w:val="Compact"/>
              <w:jc w:val="left"/>
            </w:pPr>
            <w:r>
              <w:rPr>
                <w:bCs/>
                <w:b/>
              </w:rPr>
              <w:t xml:space="preserve">Microsoft Sentinel Native Connector</w:t>
            </w:r>
          </w:p>
        </w:tc>
        <w:tc>
          <w:tcPr/>
          <w:p>
            <w:pPr>
              <w:pStyle w:val="Compact"/>
              <w:jc w:val="left"/>
            </w:pPr>
            <w:r>
              <w:t xml:space="preserve">First-party Sentinel content pack — DNS Security Events, DHCP events, RPZ blocks stream to Sentinel without custom parsing</w:t>
            </w:r>
          </w:p>
        </w:tc>
      </w:tr>
      <w:tr>
        <w:tc>
          <w:tcPr/>
          <w:p>
            <w:pPr>
              <w:pStyle w:val="Compact"/>
              <w:jc w:val="left"/>
            </w:pPr>
            <w:r>
              <w:rPr>
                <w:bCs/>
                <w:b/>
              </w:rPr>
              <w:t xml:space="preserve">Defender Threat Intelligence (MDTI)</w:t>
            </w:r>
          </w:p>
        </w:tc>
        <w:tc>
          <w:tcPr/>
          <w:p>
            <w:pPr>
              <w:pStyle w:val="Compact"/>
              <w:jc w:val="left"/>
            </w:pPr>
            <w:r>
              <w:t xml:space="preserve">Bidirectional IOC sharing between InfoBlox TIDE and MDTI — a domain blocked by MDTI is also blocked by InfoBlox RPZ</w:t>
            </w:r>
          </w:p>
        </w:tc>
      </w:tr>
      <w:tr>
        <w:tc>
          <w:tcPr/>
          <w:p>
            <w:pPr>
              <w:pStyle w:val="Compact"/>
              <w:jc w:val="left"/>
            </w:pPr>
            <w:r>
              <w:rPr>
                <w:bCs/>
                <w:b/>
              </w:rPr>
              <w:t xml:space="preserve">Entra ID / Azure AD SSO</w:t>
            </w:r>
          </w:p>
        </w:tc>
        <w:tc>
          <w:tcPr/>
          <w:p>
            <w:pPr>
              <w:pStyle w:val="Compact"/>
              <w:jc w:val="left"/>
            </w:pPr>
            <w:r>
              <w:t xml:space="preserve">InfoBlox Grid Manager and BloxOne portal support Entra ID SAML/OIDC — Grid admin auth governed by SSA Conditional Access policies</w:t>
            </w:r>
          </w:p>
        </w:tc>
      </w:tr>
      <w:tr>
        <w:tc>
          <w:tcPr/>
          <w:p>
            <w:pPr>
              <w:pStyle w:val="Compact"/>
              <w:jc w:val="left"/>
            </w:pPr>
            <w:r>
              <w:rPr>
                <w:bCs/>
                <w:b/>
              </w:rPr>
              <w:t xml:space="preserve">Azure Government Marketplace</w:t>
            </w:r>
          </w:p>
        </w:tc>
        <w:tc>
          <w:tcPr/>
          <w:p>
            <w:pPr>
              <w:pStyle w:val="Compact"/>
              <w:jc w:val="left"/>
            </w:pPr>
            <w:r>
              <w:t xml:space="preserve">BloxOne DDI Federal is procurable via existing Azure EA/ELA agreements — no separate IDIQ</w:t>
            </w:r>
          </w:p>
        </w:tc>
      </w:tr>
      <w:tr>
        <w:tc>
          <w:tcPr/>
          <w:p>
            <w:pPr>
              <w:pStyle w:val="Compact"/>
              <w:jc w:val="left"/>
            </w:pPr>
            <w:r>
              <w:rPr>
                <w:bCs/>
                <w:b/>
              </w:rPr>
              <w:t xml:space="preserve">AD-Integrated DNS Migration</w:t>
            </w:r>
          </w:p>
        </w:tc>
        <w:tc>
          <w:tcPr/>
          <w:p>
            <w:pPr>
              <w:pStyle w:val="Compact"/>
              <w:jc w:val="left"/>
            </w:pPr>
            <w:r>
              <w:t xml:space="preserve">Documented migration tooling from Windows DNS zones to InfoBlox Grid — AD still replicates, InfoBlox serves authoritative records</w:t>
            </w:r>
          </w:p>
        </w:tc>
      </w:tr>
      <w:tr>
        <w:tc>
          <w:tcPr/>
          <w:p>
            <w:pPr>
              <w:pStyle w:val="Compact"/>
              <w:jc w:val="left"/>
            </w:pPr>
            <w:r>
              <w:rPr>
                <w:bCs/>
                <w:b/>
              </w:rPr>
              <w:t xml:space="preserve">M365 GCC Endpoint Lifecycle</w:t>
            </w:r>
          </w:p>
        </w:tc>
        <w:tc>
          <w:tcPr/>
          <w:p>
            <w:pPr>
              <w:pStyle w:val="Compact"/>
              <w:jc w:val="left"/>
            </w:pPr>
            <w:r>
              <w:t xml:space="preserve">InfoBlox polls Microsoft 365 IP &amp; URL Web Service API and auto-updates all enforcement layers</w:t>
            </w:r>
          </w:p>
        </w:tc>
      </w:tr>
    </w:tbl>
    <w:bookmarkStart w:id="62" w:name="m365-gcc-boundary-enforcement"/>
    <w:p>
      <w:pPr>
        <w:pStyle w:val="Heading4"/>
      </w:pPr>
      <w:r>
        <w:t xml:space="preserve">M365 GCC Boundary Enforcement</w:t>
      </w:r>
    </w:p>
    <w:p>
      <w:pPr>
        <w:pStyle w:val="CaptionedFigure"/>
      </w:pPr>
      <w:r>
        <w:drawing>
          <wp:inline>
            <wp:extent cx="5334000" cy="2963333"/>
            <wp:effectExtent b="0" l="0" r="0" t="0"/>
            <wp:docPr descr="M365 GCC Boundary Gap: Manual vs. Automated Enforcement" title="" id="57" name="Picture"/>
            <a:graphic>
              <a:graphicData uri="http://schemas.openxmlformats.org/drawingml/2006/picture">
                <pic:pic>
                  <pic:nvPicPr>
                    <pic:cNvPr descr="figs/lz-fig-13-boundary-gap.png" id="58" name="Picture"/>
                    <pic:cNvPicPr>
                      <a:picLocks noChangeArrowheads="1" noChangeAspect="1"/>
                    </pic:cNvPicPr>
                  </pic:nvPicPr>
                  <pic:blipFill>
                    <a:blip r:embed="rId5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0" name="Picture"/>
            <a:graphic>
              <a:graphicData uri="http://schemas.openxmlformats.org/drawingml/2006/picture">
                <pic:pic>
                  <pic:nvPicPr>
                    <pic:cNvPr descr="figs/lz-fig-04-m365-pipeline.png" id="61" name="Picture"/>
                    <pic:cNvPicPr>
                      <a:picLocks noChangeArrowheads="1" noChangeAspect="1"/>
                    </pic:cNvPicPr>
                  </pic:nvPicPr>
                  <pic:blipFill>
                    <a:blip r:embed="rId59"/>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Cs/>
          <w:b/>
        </w:rPr>
        <w:t xml:space="preserve">FedRAMP boundary violation</w:t>
      </w:r>
      <w:r>
        <w:t xml:space="preserve">.</w:t>
      </w:r>
    </w:p>
    <w:p>
      <w:pPr>
        <w:pStyle w:val="BodyText"/>
      </w:pPr>
      <w:r>
        <w:t xml:space="preserve">InfoBlox provides the automated enforcement pipeline:</w:t>
      </w:r>
    </w:p>
    <w:p>
      <w:pPr>
        <w:numPr>
          <w:ilvl w:val="0"/>
          <w:numId w:val="1005"/>
        </w:numPr>
        <w:pStyle w:val="Compact"/>
      </w:pPr>
      <w:r>
        <w:rPr>
          <w:bCs/>
          <w:b/>
        </w:rPr>
        <w:t xml:space="preserve">Daily poll</w:t>
      </w:r>
      <w:r>
        <w:t xml:space="preserve"> </w:t>
      </w:r>
      <w:r>
        <w:t xml:space="preserve">of the Microsoft M365 GCC endpoint API (version-change detection)</w:t>
      </w:r>
    </w:p>
    <w:p>
      <w:pPr>
        <w:numPr>
          <w:ilvl w:val="0"/>
          <w:numId w:val="1005"/>
        </w:numPr>
        <w:pStyle w:val="Compact"/>
      </w:pPr>
      <w:r>
        <w:rPr>
          <w:bCs/>
          <w:b/>
        </w:rPr>
        <w:t xml:space="preserve">RPZ passthrough allow-list</w:t>
      </w:r>
      <w:r>
        <w:t xml:space="preserve"> </w:t>
      </w:r>
      <w:r>
        <w:t xml:space="preserve">— GCC FQDNs explicitly allowed through threat blocking</w:t>
      </w:r>
    </w:p>
    <w:p>
      <w:pPr>
        <w:numPr>
          <w:ilvl w:val="0"/>
          <w:numId w:val="1005"/>
        </w:numPr>
        <w:pStyle w:val="Compact"/>
      </w:pPr>
      <w:r>
        <w:rPr>
          <w:bCs/>
          <w:b/>
        </w:rPr>
        <w:t xml:space="preserve">RPZ block list</w:t>
      </w:r>
      <w:r>
        <w:t xml:space="preserve"> </w:t>
      </w:r>
      <w:r>
        <w:t xml:space="preserve">— commercial M365 FQDNs (non-GCC) blocked at DNS layer</w:t>
      </w:r>
    </w:p>
    <w:p>
      <w:pPr>
        <w:numPr>
          <w:ilvl w:val="0"/>
          <w:numId w:val="1005"/>
        </w:numPr>
        <w:pStyle w:val="Compact"/>
      </w:pPr>
      <w:r>
        <w:rPr>
          <w:bCs/>
          <w:b/>
        </w:rPr>
        <w:t xml:space="preserve">Azure NSG IP Group</w:t>
      </w:r>
      <w:r>
        <w:t xml:space="preserve"> </w:t>
      </w:r>
      <w:r>
        <w:t xml:space="preserve">update — GCC Optimize IP ranges pushed to Azure Government</w:t>
      </w:r>
    </w:p>
    <w:p>
      <w:pPr>
        <w:numPr>
          <w:ilvl w:val="0"/>
          <w:numId w:val="1005"/>
        </w:numPr>
        <w:pStyle w:val="Compact"/>
      </w:pPr>
      <w:r>
        <w:rPr>
          <w:bCs/>
          <w:b/>
        </w:rPr>
        <w:t xml:space="preserve">AWS GovCloud Security Group</w:t>
      </w:r>
      <w:r>
        <w:t xml:space="preserve"> </w:t>
      </w:r>
      <w:r>
        <w:t xml:space="preserve">update — GCC IP ranges for outbound rules</w:t>
      </w:r>
    </w:p>
    <w:p>
      <w:pPr>
        <w:numPr>
          <w:ilvl w:val="0"/>
          <w:numId w:val="1005"/>
        </w:numPr>
        <w:pStyle w:val="Compact"/>
      </w:pPr>
      <w:r>
        <w:rPr>
          <w:bCs/>
          <w:b/>
        </w:rPr>
        <w:t xml:space="preserve">VPN split-tunnel DNS</w:t>
      </w:r>
      <w:r>
        <w:t xml:space="preserve"> </w:t>
      </w:r>
      <w:r>
        <w:t xml:space="preserve">— M365 Optimize FQDNs route via local interface, not VPN tunnel</w:t>
      </w:r>
    </w:p>
    <w:p>
      <w:pPr>
        <w:numPr>
          <w:ilvl w:val="0"/>
          <w:numId w:val="1005"/>
        </w:numPr>
        <w:pStyle w:val="Compact"/>
      </w:pPr>
      <w:r>
        <w:rPr>
          <w:bCs/>
          <w:b/>
        </w:rPr>
        <w:t xml:space="preserve">Sentinel alert</w:t>
      </w:r>
      <w:r>
        <w:t xml:space="preserve"> </w:t>
      </w:r>
      <w:r>
        <w:t xml:space="preserve">— any DNS query from an in-boundary workload to a commercial M365 endpoint triggers an IR ticket</w:t>
      </w:r>
    </w:p>
    <w:p>
      <w:pPr>
        <w:pStyle w:val="FirstParagraph"/>
      </w:pPr>
      <w:r>
        <w:rPr>
          <w:bCs/>
          <w:b/>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bookmarkEnd w:id="62"/>
    <w:bookmarkEnd w:id="63"/>
    <w:bookmarkStart w:id="67" w:name="sec-aws"/>
    <w:p>
      <w:pPr>
        <w:pStyle w:val="Heading3"/>
      </w:pPr>
      <w:r>
        <w:t xml:space="preserve">AWS Partnership: BloxOne Runs ON AWS GovCloud</w:t>
      </w:r>
    </w:p>
    <w:p>
      <w:pPr>
        <w:pStyle w:val="CaptionedFigure"/>
      </w:pPr>
      <w:r>
        <w:drawing>
          <wp:inline>
            <wp:extent cx="5334000" cy="2844800"/>
            <wp:effectExtent b="0" l="0" r="0" t="0"/>
            <wp:docPr descr="AWS GovCloud × InfoBlox — BloxOne DDI Federal Hosted on AWS, LZA DNS Alignment" title="" id="65" name="Picture"/>
            <a:graphic>
              <a:graphicData uri="http://schemas.openxmlformats.org/drawingml/2006/picture">
                <pic:pic>
                  <pic:nvPicPr>
                    <pic:cNvPr descr="figs/lz-fig-07-aws-lza.png" id="66" name="Picture"/>
                    <pic:cNvPicPr>
                      <a:picLocks noChangeArrowheads="1" noChangeAspect="1"/>
                    </pic:cNvPicPr>
                  </pic:nvPicPr>
                  <pic:blipFill>
                    <a:blip r:embed="rId6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Cs/>
          <w:b/>
        </w:rPr>
        <w:t xml:space="preserve">InfoBlox’s own FedRAMP-authorized cloud service (BloxOne DDI Federal, CSO FR2017257053) is hosted on AWS GovCloud.</w:t>
      </w:r>
      <w:r>
        <w:t xml:space="preserve"> </w:t>
      </w:r>
      <w:r>
        <w:t xml:space="preserve">This makes AWS the infrastructure foundation for InfoBlox’s SaaS control plane.</w:t>
      </w:r>
    </w:p>
    <w:p>
      <w:pPr>
        <w:pStyle w:val="BodyText"/>
      </w:pPr>
      <w:r>
        <w:rPr>
          <w:bCs/>
          <w:b/>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pPr>
        <w:pStyle w:val="BodyText"/>
      </w:pPr>
      <w:r>
        <w:t xml:space="preserve">AWS-specific InfoBlox capabilities:</w:t>
      </w:r>
    </w:p>
    <w:p>
      <w:pPr>
        <w:numPr>
          <w:ilvl w:val="0"/>
          <w:numId w:val="1006"/>
        </w:numPr>
        <w:pStyle w:val="Compact"/>
      </w:pPr>
      <w:r>
        <w:rPr>
          <w:bCs/>
          <w:b/>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numPr>
          <w:ilvl w:val="0"/>
          <w:numId w:val="1006"/>
        </w:numPr>
        <w:pStyle w:val="Compact"/>
      </w:pPr>
      <w:r>
        <w:rPr>
          <w:bCs/>
          <w:b/>
        </w:rPr>
        <w:t xml:space="preserve">AWS Security Hub:</w:t>
      </w:r>
      <w:r>
        <w:t xml:space="preserve"> </w:t>
      </w:r>
      <w:r>
        <w:t xml:space="preserve">InfoBlox RPZ block events flow natively to Security Hub findings and correlate with GuardDuty detections.</w:t>
      </w:r>
    </w:p>
    <w:p>
      <w:pPr>
        <w:numPr>
          <w:ilvl w:val="0"/>
          <w:numId w:val="1006"/>
        </w:numPr>
        <w:pStyle w:val="Compact"/>
      </w:pPr>
      <w:r>
        <w:rPr>
          <w:bCs/>
          <w:b/>
        </w:rPr>
        <w:t xml:space="preserve">ACM Private CA Integration:</w:t>
      </w:r>
      <w:r>
        <w:t xml:space="preserve"> </w:t>
      </w:r>
      <w:r>
        <w:t xml:space="preserve">InfoBlox auto-creates DNS validation CNAME records for ACM certificate issuance; ACM PCA certificate expiry is tracked in InfoBlox Certificate Tracker.</w:t>
      </w:r>
    </w:p>
    <w:p>
      <w:pPr>
        <w:numPr>
          <w:ilvl w:val="0"/>
          <w:numId w:val="1006"/>
        </w:numPr>
        <w:pStyle w:val="Compact"/>
      </w:pPr>
      <w:r>
        <w:rPr>
          <w:bCs/>
          <w:b/>
        </w:rPr>
        <w:t xml:space="preserve">AWS IPAM Sync:</w:t>
      </w:r>
      <w:r>
        <w:t xml:space="preserve"> </w:t>
      </w:r>
      <w:r>
        <w:t xml:space="preserve">AWS IPAM pool allocations are imported into InfoBlox’s AWS-GovCloud Network View — cross-cloud CIDR conflict detection includes native AWS IPAM-managed ranges.</w:t>
      </w:r>
    </w:p>
    <w:p>
      <w:pPr>
        <w:numPr>
          <w:ilvl w:val="0"/>
          <w:numId w:val="1006"/>
        </w:numPr>
        <w:pStyle w:val="Compact"/>
      </w:pPr>
      <w:r>
        <w:rPr>
          <w:bCs/>
          <w:b/>
        </w:rPr>
        <w:t xml:space="preserve">AWS GovCloud Marketplace Procurement:</w:t>
      </w:r>
      <w:r>
        <w:t xml:space="preserve"> </w:t>
      </w:r>
      <w:r>
        <w:t xml:space="preserve">BloxOne DDI Federal is procurable via the GovCloud Marketplace against existing EA agreements — no separate IDIQ or procurement action required.</w:t>
      </w:r>
    </w:p>
    <w:p>
      <w:pPr>
        <w:pStyle w:val="FirstParagraph"/>
      </w:pPr>
      <w:r>
        <w:rPr>
          <w:bCs/>
          <w:b/>
        </w:rPr>
        <w:t xml:space="preserve">Route 53 Private Zone DNSSEC Gap:</w:t>
      </w:r>
      <w:r>
        <w:t xml:space="preserve"> </w:t>
      </w:r>
      <w:r>
        <w:t xml:space="preserve">AWS Route 53 private hosted zones</w:t>
      </w:r>
      <w:r>
        <w:t xml:space="preserve"> </w:t>
      </w:r>
      <w:r>
        <w:rPr>
          <w:iCs/>
          <w:i/>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bookmarkEnd w:id="67"/>
    <w:bookmarkStart w:id="71" w:name="sec-oracle"/>
    <w:p>
      <w:pPr>
        <w:pStyle w:val="Heading3"/>
      </w:pPr>
      <w:r>
        <w:t xml:space="preserve">Oracle Cloud / OCI: OPM HRIT Future Integration</w:t>
      </w:r>
    </w:p>
    <w:p>
      <w:pPr>
        <w:pStyle w:val="CaptionedFigure"/>
      </w:pPr>
      <w:r>
        <w:drawing>
          <wp:inline>
            <wp:extent cx="5334000" cy="2933700"/>
            <wp:effectExtent b="0" l="0" r="0" t="0"/>
            <wp:docPr descr="OPM HRIT on Oracle OCI — SSA Inter-Agency Integration via InfoBlox Certificate Monitor" title="" id="69" name="Picture"/>
            <a:graphic>
              <a:graphicData uri="http://schemas.openxmlformats.org/drawingml/2006/picture">
                <pic:pic>
                  <pic:nvPicPr>
                    <pic:cNvPr descr="figs/lz-fig-06-opm-hrit.png" id="70" name="Picture"/>
                    <pic:cNvPicPr>
                      <a:picLocks noChangeArrowheads="1" noChangeAspect="1"/>
                    </pic:cNvPicPr>
                  </pic:nvPicPr>
                  <pic:blipFill>
                    <a:blip r:embed="rId6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HRIT (federal HR and benefits processing) to Oracle HCM Cloud on OCI. As OPM’s HRIT moves to OCI-hosted SaaS, SSA’s integration path changes from a mainframe handoff to a cloud API call from SSA’s environment to OPM’s OCI-hosted service endpoints.</w:t>
      </w:r>
    </w:p>
    <w:p>
      <w:pPr>
        <w:pStyle w:val="BodyText"/>
      </w:pPr>
      <w:r>
        <w:rPr>
          <w:bCs/>
          <w:b/>
        </w:rPr>
        <w:t xml:space="preserve">The challenge:</w:t>
      </w:r>
      <w:r>
        <w:t xml:space="preserve"> </w:t>
      </w:r>
      <w:r>
        <w:t xml:space="preserve">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pPr>
        <w:pStyle w:val="BodyText"/>
      </w:pPr>
      <w:r>
        <w:rPr>
          <w:bCs/>
          <w:b/>
        </w:rPr>
        <w:t xml:space="preserve">InfoBlox manages SSA’s side of the integration:</w:t>
      </w:r>
    </w:p>
    <w:p>
      <w:pPr>
        <w:pStyle w:val="TableCaption"/>
      </w:pPr>
      <w:r>
        <w:t xml:space="preserve">OPM HRIT Integration via InfoBlox {.striped .hover}</w:t>
      </w:r>
    </w:p>
    <w:tbl>
      <w:tblPr>
        <w:tblStyle w:val="Table"/>
        <w:tblW w:type="pct" w:w="5000"/>
        <w:tblLook w:firstRow="1" w:lastRow="0" w:firstColumn="0" w:lastColumn="0" w:noHBand="0" w:noVBand="0" w:val="0020"/>
        <w:jc w:val="start"/>
        <w:tblCaption w:val="OPM HRIT Integration via InfoBlox {.striped .hover}"/>
      </w:tblPr>
      <w:tblGrid>
        <w:gridCol w:w="3960"/>
        <w:gridCol w:w="3960"/>
      </w:tblGrid>
      <w:tr>
        <w:trPr>
          <w:tblHeader w:val="true"/>
        </w:trPr>
        <w:tc>
          <w:tcPr/>
          <w:p>
            <w:pPr>
              <w:pStyle w:val="Compact"/>
              <w:jc w:val="left"/>
            </w:pPr>
            <w:r>
              <w:t xml:space="preserve">Integration Layer</w:t>
            </w:r>
          </w:p>
        </w:tc>
        <w:tc>
          <w:tcPr/>
          <w:p>
            <w:pPr>
              <w:pStyle w:val="Compact"/>
              <w:jc w:val="left"/>
            </w:pPr>
            <w:r>
              <w:t xml:space="preserve">InfoBlox Capability</w:t>
            </w:r>
          </w:p>
        </w:tc>
      </w:tr>
      <w:tr>
        <w:tc>
          <w:tcPr/>
          <w:p>
            <w:pPr>
              <w:pStyle w:val="Compact"/>
              <w:jc w:val="left"/>
            </w:pPr>
            <w:r>
              <w:t xml:space="preserve">DNS resolution</w:t>
            </w:r>
          </w:p>
        </w:tc>
        <w:tc>
          <w:tcPr/>
          <w:p>
            <w:pPr>
              <w:pStyle w:val="Compact"/>
              <w:jc w:val="lef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jc w:val="left"/>
            </w:pPr>
            <w:r>
              <w:t xml:space="preserve">IP documentation</w:t>
            </w:r>
          </w:p>
        </w:tc>
        <w:tc>
          <w:tcPr/>
          <w:p>
            <w:pPr>
              <w:pStyle w:val="Compact"/>
              <w:jc w:val="left"/>
            </w:pPr>
            <w:r>
              <w:t xml:space="preserve">OPM HRIT OCI IPs imported as external host records (read-only OCI Network View); SA-9 table auto-generated</w:t>
            </w:r>
          </w:p>
        </w:tc>
      </w:tr>
      <w:tr>
        <w:tc>
          <w:tcPr/>
          <w:p>
            <w:pPr>
              <w:pStyle w:val="Compact"/>
              <w:jc w:val="left"/>
            </w:pPr>
            <w:r>
              <w:t xml:space="preserve">Certificate monitoring</w:t>
            </w:r>
          </w:p>
        </w:tc>
        <w:tc>
          <w:tcPr/>
          <w:p>
            <w:pPr>
              <w:pStyle w:val="Compact"/>
              <w:jc w:val="left"/>
            </w:pPr>
            <w:r>
              <w:t xml:space="preserve">InfoBlox Certificate Tracker polls OPM HRIT HTTPS endpoints; captures TLS cert thumbprint + expiry</w:t>
            </w:r>
          </w:p>
        </w:tc>
      </w:tr>
      <w:tr>
        <w:tc>
          <w:tcPr/>
          <w:p>
            <w:pPr>
              <w:pStyle w:val="Compact"/>
              <w:jc w:val="left"/>
            </w:pPr>
            <w:r>
              <w:t xml:space="preserve">Expiry alerting</w:t>
            </w:r>
          </w:p>
        </w:tc>
        <w:tc>
          <w:tcPr/>
          <w:p>
            <w:pPr>
              <w:pStyle w:val="Compact"/>
              <w:jc w:val="left"/>
            </w:pPr>
            <w:r>
              <w:t xml:space="preserve">90/30/7-day alerts give SSA advance notice of OPM cert rotation</w:t>
            </w:r>
          </w:p>
        </w:tc>
      </w:tr>
      <w:tr>
        <w:tc>
          <w:tcPr/>
          <w:p>
            <w:pPr>
              <w:pStyle w:val="Compact"/>
              <w:jc w:val="left"/>
            </w:pPr>
            <w:r>
              <w:t xml:space="preserve">Trust store prep</w:t>
            </w:r>
          </w:p>
        </w:tc>
        <w:tc>
          <w:tcPr/>
          <w:p>
            <w:pPr>
              <w:pStyle w:val="Compact"/>
              <w:jc w:val="left"/>
            </w:pPr>
            <w:r>
              <w:t xml:space="preserve">New OPM cert thumbprint pre-staged in InfoBlox before rotation day — zero-downtime update</w:t>
            </w:r>
          </w:p>
        </w:tc>
      </w:tr>
    </w:tbl>
    <w:p>
      <w:pPr>
        <w:pStyle w:val="BodyText"/>
      </w:pPr>
      <w:r>
        <w:rPr>
          <w:bCs/>
          <w:b/>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r>
        <w:pict>
          <v:rect style="width:0;height:1.5pt" o:hralign="center" o:hrstd="t" o:hr="t"/>
        </w:pict>
      </w:r>
    </w:p>
    <w:bookmarkEnd w:id="71"/>
    <w:bookmarkEnd w:id="72"/>
    <w:bookmarkStart w:id="80" w:name="sec-certs"/>
    <w:p>
      <w:pPr>
        <w:pStyle w:val="Heading2"/>
      </w:pPr>
      <w:r>
        <w:t xml:space="preserve">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73">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75" name="Picture"/>
            <a:graphic>
              <a:graphicData uri="http://schemas.openxmlformats.org/drawingml/2006/picture">
                <pic:pic>
                  <pic:nvPicPr>
                    <pic:cNvPr descr="figs/lz-fig-09-cert-lifecycle.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77" w:name="sec-cert-lifecycle"/>
    <w:p>
      <w:pPr>
        <w:pStyle w:val="Heading3"/>
      </w:pPr>
      <w:r>
        <w:t xml:space="preserve">The Certificate Lifecycle in a Multi-Cloud SDN Environment</w:t>
      </w:r>
    </w:p>
    <w:p>
      <w:pPr>
        <w:pStyle w:val="FirstParagraph"/>
      </w:pPr>
      <w:r>
        <w:t xml:space="preserve">The complete certificate lifecycle for a cloud workload follows this sequence:</w:t>
      </w:r>
    </w:p>
    <w:p>
      <w:pPr>
        <w:numPr>
          <w:ilvl w:val="0"/>
          <w:numId w:val="1007"/>
        </w:numPr>
        <w:pStyle w:val="Compact"/>
      </w:pPr>
      <w:r>
        <w:t xml:space="preserve">VM or container provisioned by VCF Automation, Terraform, or cloud-native IaC</w:t>
      </w:r>
    </w:p>
    <w:p>
      <w:pPr>
        <w:numPr>
          <w:ilvl w:val="0"/>
          <w:numId w:val="1007"/>
        </w:numPr>
        <w:pStyle w:val="Compact"/>
      </w:pPr>
      <w:r>
        <w:t xml:space="preserve">InfoBlox IPAM allocates an IP from the correct Network View (cross-cloud conflict-checked)</w:t>
      </w:r>
    </w:p>
    <w:p>
      <w:pPr>
        <w:numPr>
          <w:ilvl w:val="0"/>
          <w:numId w:val="1007"/>
        </w:numPr>
        <w:pStyle w:val="Compact"/>
      </w:pPr>
      <w:r>
        <w:t xml:space="preserve">InfoBlox Grid automatically creates a DNS A record:</w:t>
      </w:r>
      <w:r>
        <w:t xml:space="preserve"> </w:t>
      </w:r>
      <w:r>
        <w:rPr>
          <w:rStyle w:val="VerbatimChar"/>
        </w:rPr>
        <w:t xml:space="preserve">workload-name.environment.agency.gov → IP</w:t>
      </w:r>
    </w:p>
    <w:p>
      <w:pPr>
        <w:numPr>
          <w:ilvl w:val="0"/>
          <w:numId w:val="1007"/>
        </w:numPr>
        <w:pStyle w:val="Compact"/>
      </w:pPr>
      <w:r>
        <w:t xml:space="preserve">Workload bootstrap sends SCEP or EST enrollment to the agency CA using the DNS name as the certificate SAN</w:t>
      </w:r>
    </w:p>
    <w:p>
      <w:pPr>
        <w:numPr>
          <w:ilvl w:val="0"/>
          <w:numId w:val="1007"/>
        </w:numPr>
        <w:pStyle w:val="Compact"/>
      </w:pPr>
      <w:r>
        <w:t xml:space="preserve">CA (ADCS, Azure Key Vault with SCEP, AWS ACM Private CA) issues a certificate binding the SAN to the workload</w:t>
      </w:r>
    </w:p>
    <w:p>
      <w:pPr>
        <w:numPr>
          <w:ilvl w:val="0"/>
          <w:numId w:val="1007"/>
        </w:numPr>
        <w:pStyle w:val="Compact"/>
      </w:pPr>
      <w:r>
        <w:t xml:space="preserve">InfoBlox Certificate Tracker receives the certificate thumbprint, expiry, and issuing CA, binding it to the IP host record</w:t>
      </w:r>
    </w:p>
    <w:p>
      <w:pPr>
        <w:numPr>
          <w:ilvl w:val="0"/>
          <w:numId w:val="1007"/>
        </w:numPr>
        <w:pStyle w:val="Compact"/>
      </w:pPr>
      <w:r>
        <w:t xml:space="preserve">mTLS is active: the workload presents the certificate to authenticate to other services</w:t>
      </w:r>
    </w:p>
    <w:p>
      <w:pPr>
        <w:numPr>
          <w:ilvl w:val="0"/>
          <w:numId w:val="1007"/>
        </w:numPr>
        <w:pStyle w:val="Compact"/>
      </w:pPr>
      <w:r>
        <w:t xml:space="preserve">90/30/7 days before expiry, InfoBlox Certificate Tracker generates alerts for timely renewal</w:t>
      </w:r>
    </w:p>
    <w:bookmarkEnd w:id="77"/>
    <w:bookmarkStart w:id="79" w:name="sec-cert-platforms"/>
    <w:p>
      <w:pPr>
        <w:pStyle w:val="Heading3"/>
      </w:pPr>
      <w:r>
        <w:t xml:space="preserve">Integration with Each Cloud Certificate Manager</w:t>
      </w:r>
    </w:p>
    <w:p>
      <w:pPr>
        <w:pStyle w:val="TableCaption"/>
      </w:pPr>
      <w:r>
        <w:t xml:space="preserve">Certificate Manager Integrations {.striped .hover}</w:t>
      </w:r>
    </w:p>
    <w:tbl>
      <w:tblPr>
        <w:tblStyle w:val="Table"/>
        <w:tblW w:type="pct" w:w="5000"/>
        <w:tblLook w:firstRow="1" w:lastRow="0" w:firstColumn="0" w:lastColumn="0" w:noHBand="0" w:noVBand="0" w:val="0020"/>
        <w:jc w:val="start"/>
        <w:tblCaption w:val="Certificate Manager Integrations {.striped .hover}"/>
      </w:tblPr>
      <w:tblGrid>
        <w:gridCol w:w="2640"/>
        <w:gridCol w:w="2640"/>
        <w:gridCol w:w="2640"/>
      </w:tblGrid>
      <w:tr>
        <w:trPr>
          <w:tblHeader w:val="true"/>
        </w:trPr>
        <w:tc>
          <w:tcPr/>
          <w:p>
            <w:pPr>
              <w:pStyle w:val="Compact"/>
              <w:jc w:val="left"/>
            </w:pPr>
            <w:r>
              <w:t xml:space="preserve">Platform</w:t>
            </w:r>
          </w:p>
        </w:tc>
        <w:tc>
          <w:tcPr/>
          <w:p>
            <w:pPr>
              <w:pStyle w:val="Compact"/>
              <w:jc w:val="left"/>
            </w:pPr>
            <w:r>
              <w:t xml:space="preserve">Integration Method</w:t>
            </w:r>
          </w:p>
        </w:tc>
        <w:tc>
          <w:tcPr/>
          <w:p>
            <w:pPr>
              <w:pStyle w:val="Compact"/>
              <w:jc w:val="left"/>
            </w:pPr>
            <w:r>
              <w:t xml:space="preserve">InfoBlox Role</w:t>
            </w:r>
          </w:p>
        </w:tc>
      </w:tr>
      <w:tr>
        <w:tc>
          <w:tcPr/>
          <w:p>
            <w:pPr>
              <w:pStyle w:val="Compact"/>
              <w:jc w:val="left"/>
            </w:pPr>
            <w:r>
              <w:rPr>
                <w:bCs/>
                <w:b/>
              </w:rPr>
              <w:t xml:space="preserve">ADCS (On-Prem)</w:t>
            </w:r>
          </w:p>
        </w:tc>
        <w:tc>
          <w:tcPr/>
          <w:p>
            <w:pPr>
              <w:pStyle w:val="Compact"/>
              <w:jc w:val="left"/>
            </w:pPr>
            <w:r>
              <w:t xml:space="preserve">SCEP/EST connector; InfoBlox SCEP auto-enrollment</w:t>
            </w:r>
          </w:p>
        </w:tc>
        <w:tc>
          <w:tcPr/>
          <w:p>
            <w:pPr>
              <w:pStyle w:val="Compact"/>
              <w:jc w:val="left"/>
            </w:pPr>
            <w:r>
              <w:t xml:space="preserve">Triggers enrollment on IP host record creation; binds cert thumbprint to IP record</w:t>
            </w:r>
          </w:p>
        </w:tc>
      </w:tr>
      <w:tr>
        <w:tc>
          <w:tcPr/>
          <w:p>
            <w:pPr>
              <w:pStyle w:val="Compact"/>
              <w:jc w:val="left"/>
            </w:pPr>
            <w:r>
              <w:rPr>
                <w:bCs/>
                <w:b/>
              </w:rPr>
              <w:t xml:space="preserve">Azure Key Vault (GCC)</w:t>
            </w:r>
          </w:p>
        </w:tc>
        <w:tc>
          <w:tcPr/>
          <w:p>
            <w:pPr>
              <w:pStyle w:val="Compact"/>
              <w:jc w:val="left"/>
            </w:pPr>
            <w:r>
              <w:t xml:space="preserve">Azure Key Vault REST API polling</w:t>
            </w:r>
          </w:p>
        </w:tc>
        <w:tc>
          <w:tcPr/>
          <w:p>
            <w:pPr>
              <w:pStyle w:val="Compact"/>
              <w:jc w:val="left"/>
            </w:pPr>
            <w:r>
              <w:t xml:space="preserve">Imports cert metadata; correlates cert to Azure VM NIC IP; alerts on expiry</w:t>
            </w:r>
          </w:p>
        </w:tc>
      </w:tr>
      <w:tr>
        <w:tc>
          <w:tcPr/>
          <w:p>
            <w:pPr>
              <w:pStyle w:val="Compact"/>
              <w:jc w:val="left"/>
            </w:pPr>
            <w:r>
              <w:rPr>
                <w:bCs/>
                <w:b/>
              </w:rPr>
              <w:t xml:space="preserve">AWS ACM Private CA</w:t>
            </w:r>
          </w:p>
        </w:tc>
        <w:tc>
          <w:tcPr/>
          <w:p>
            <w:pPr>
              <w:pStyle w:val="Compact"/>
              <w:jc w:val="left"/>
            </w:pPr>
            <w:r>
              <w:t xml:space="preserve">ACM API; DNS validation CNAME auto-creation</w:t>
            </w:r>
          </w:p>
        </w:tc>
        <w:tc>
          <w:tcPr/>
          <w:p>
            <w:pPr>
              <w:pStyle w:val="Compact"/>
              <w:jc w:val="left"/>
            </w:pPr>
            <w:r>
              <w:t xml:space="preserve">Creates ACM validation CNAMEs in Grid; tracks ACM PCA cert expiry</w:t>
            </w:r>
          </w:p>
        </w:tc>
      </w:tr>
      <w:tr>
        <w:tc>
          <w:tcPr/>
          <w:p>
            <w:pPr>
              <w:pStyle w:val="Compact"/>
              <w:jc w:val="left"/>
            </w:pPr>
            <w:r>
              <w:rPr>
                <w:bCs/>
                <w:b/>
              </w:rPr>
              <w:t xml:space="preserve">Oracle OCI Certificates</w:t>
            </w:r>
          </w:p>
        </w:tc>
        <w:tc>
          <w:tcPr/>
          <w:p>
            <w:pPr>
              <w:pStyle w:val="Compact"/>
              <w:jc w:val="left"/>
            </w:pPr>
            <w:r>
              <w:t xml:space="preserve">HTTPS endpoint polling (no OCI API needed)</w:t>
            </w:r>
          </w:p>
        </w:tc>
        <w:tc>
          <w:tcPr/>
          <w:p>
            <w:pPr>
              <w:pStyle w:val="Compact"/>
              <w:jc w:val="left"/>
            </w:pPr>
            <w:r>
              <w:t xml:space="preserve">Imports OPM HRIT endpoint cert thumbprint; 90/30/7-day alerts to SSA team</w:t>
            </w:r>
          </w:p>
        </w:tc>
      </w:tr>
      <w:tr>
        <w:tc>
          <w:tcPr/>
          <w:p>
            <w:pPr>
              <w:pStyle w:val="Compact"/>
              <w:jc w:val="left"/>
            </w:pPr>
            <w:r>
              <w:rPr>
                <w:bCs/>
                <w:b/>
              </w:rPr>
              <w:t xml:space="preserve">Keyfactor / Sectigo CLM</w:t>
            </w:r>
          </w:p>
        </w:tc>
        <w:tc>
          <w:tcPr/>
          <w:p>
            <w:pPr>
              <w:pStyle w:val="Compact"/>
              <w:jc w:val="left"/>
            </w:pPr>
            <w:r>
              <w:t xml:space="preserve">Bidirectional API integration</w:t>
            </w:r>
          </w:p>
        </w:tc>
        <w:tc>
          <w:tcPr/>
          <w:p>
            <w:pPr>
              <w:pStyle w:val="Compact"/>
              <w:jc w:val="left"/>
            </w:pPr>
            <w:r>
              <w:t xml:space="preserve">InfoBlox as DNS name SSOT for cert SAN validation; CLM uses InfoBlox IP ranges for discovery scanning</w:t>
            </w:r>
          </w:p>
        </w:tc>
      </w:tr>
    </w:tbl>
    <w:p>
      <w:pPr>
        <w:pStyle w:val="BodyText"/>
      </w:pPr>
      <w:r>
        <w:rPr>
          <w:bCs/>
          <w:b/>
        </w:rPr>
        <w:t xml:space="preserve">Zero Trust Enabler:</w:t>
      </w:r>
      <w:r>
        <w:t xml:space="preserve"> </w:t>
      </w:r>
      <w:r>
        <w:t xml:space="preserve">Certificate-to-IP binding in InfoBlox is the technical foundation of</w:t>
      </w:r>
      <w:r>
        <w:t xml:space="preserve"> </w:t>
      </w:r>
      <w:r>
        <w:t xml:space="preserve">‘</w:t>
      </w:r>
      <w:r>
        <w:t xml:space="preserve">never trust, always verify</w:t>
      </w:r>
      <w:r>
        <w:t xml:space="preserve">’</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pPr>
        <w:pStyle w:val="BodyText"/>
      </w:pPr>
      <w:r>
        <w:rPr>
          <w:bCs/>
          <w:b/>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Cs/>
          <w:b/>
        </w:rPr>
        <w:t xml:space="preserve">cloud workloads</w:t>
      </w:r>
      <w:r>
        <w:t xml:space="preserve"> </w:t>
      </w:r>
      <w:r>
        <w:t xml:space="preserve">(VMs and containers). For</w:t>
      </w:r>
      <w:r>
        <w:t xml:space="preserve"> </w:t>
      </w:r>
      <w:r>
        <w:rPr>
          <w:bCs/>
          <w:b/>
        </w:rPr>
        <w:t xml:space="preserve">NAC-enrolled endpoint devices</w:t>
      </w:r>
      <w:r>
        <w:t xml:space="preserve"> </w:t>
      </w:r>
      <w:r>
        <w:t xml:space="preserve">— laptops, workstations, and managed endpoints that authenticate via 802.1X EAP-TLS — the same compound pattern applies but is triggered differently:</w:t>
      </w:r>
    </w:p>
    <w:p>
      <w:pPr>
        <w:numPr>
          <w:ilvl w:val="0"/>
          <w:numId w:val="1008"/>
        </w:numPr>
        <w:pStyle w:val="Compact"/>
      </w:pPr>
      <w:r>
        <w:rPr>
          <w:bCs/>
          <w:b/>
        </w:rPr>
        <w:t xml:space="preserve">Intune/SCEP enrollment</w:t>
      </w:r>
      <w:r>
        <w:t xml:space="preserve"> </w:t>
      </w:r>
      <w:r>
        <w:t xml:space="preserve">(covered in</w:t>
      </w:r>
      <w:r>
        <w:t xml:space="preserve"> </w:t>
      </w:r>
      <w:hyperlink r:id="rId78">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numPr>
          <w:ilvl w:val="0"/>
          <w:numId w:val="1008"/>
        </w:numPr>
        <w:pStyle w:val="Compact"/>
      </w:pPr>
      <w:r>
        <w:rPr>
          <w:bCs/>
          <w:b/>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numPr>
          <w:ilvl w:val="0"/>
          <w:numId w:val="1008"/>
        </w:numPr>
        <w:pStyle w:val="Compact"/>
      </w:pPr>
      <w:r>
        <w:t xml:space="preserve">Together, steps 1 and 2 produce a device where</w:t>
      </w:r>
      <w:r>
        <w:t xml:space="preserve"> </w:t>
      </w:r>
      <w:r>
        <w:rPr>
          <w:bCs/>
          <w:b/>
        </w:rPr>
        <w:t xml:space="preserve">name, address, and key are bound at admission</w:t>
      </w:r>
      <w:r>
        <w:t xml:space="preserve"> </w:t>
      </w:r>
      <w:r>
        <w:t xml:space="preserve">— the same compound guarantee that workload provisioning achieves, extended to the endpoint population.</w:t>
      </w:r>
    </w:p>
    <w:p>
      <w:pPr>
        <w:pStyle w:val="FirstParagraph"/>
      </w:pPr>
      <w:r>
        <w:t xml:space="preserve">This linkage — that every NAC-admitted device carries both a DNS hostname and a machine certificate, and that InfoBlox holds the authoritative binding record — is the shared foundation of</w:t>
      </w:r>
      <w:r>
        <w:t xml:space="preserve"> </w:t>
      </w:r>
      <w:hyperlink r:id="rId78">
        <w:r>
          <w:rPr>
            <w:rStyle w:val="Hyperlink"/>
          </w:rPr>
          <w:t xml:space="preserve">Book 02</w:t>
        </w:r>
      </w:hyperlink>
      <w:r>
        <w:t xml:space="preserve"> </w:t>
      </w:r>
      <w:r>
        <w:t xml:space="preserve">(NAC/802.1X) and</w:t>
      </w:r>
      <w:r>
        <w:t xml:space="preserve"> </w:t>
      </w:r>
      <w:hyperlink r:id="rId73">
        <w:r>
          <w:rPr>
            <w:rStyle w:val="Hyperlink"/>
          </w:rPr>
          <w:t xml:space="preserve">Book 03</w:t>
        </w:r>
      </w:hyperlink>
      <w:r>
        <w:t xml:space="preserve"> </w:t>
      </w:r>
      <w:r>
        <w:t xml:space="preserve">(Cryptographic Identity). The design decision for this binding must be validated with OIS.</w:t>
      </w:r>
    </w:p>
    <w:p>
      <w:r>
        <w:pict>
          <v:rect style="width:0;height:1.5pt" o:hralign="center" o:hrstd="t" o:hr="t"/>
        </w:pict>
      </w:r>
    </w:p>
    <w:bookmarkEnd w:id="79"/>
    <w:bookmarkEnd w:id="80"/>
    <w:bookmarkStart w:id="94" w:name="sec-subdomain"/>
    <w:p>
      <w:pPr>
        <w:pStyle w:val="Heading2"/>
      </w:pPr>
      <w:r>
        <w:t xml:space="preserve">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Cs/>
          <w:b/>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81" w:name="sec-subdomain-why"/>
    <w:p>
      <w:pPr>
        <w:pStyle w:val="Heading3"/>
      </w:pPr>
      <w:r>
        <w:t xml:space="preserve">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Cs/>
          <w:b/>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Cs/>
          <w:b/>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Cs/>
          <w:b/>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81"/>
    <w:bookmarkStart w:id="85" w:name="sec-subdomain-structure"/>
    <w:p>
      <w:pPr>
        <w:pStyle w:val="Heading3"/>
      </w:pPr>
      <w:r>
        <w:t xml:space="preserve">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83" name="Picture"/>
            <a:graphic>
              <a:graphicData uri="http://schemas.openxmlformats.org/drawingml/2006/picture">
                <pic:pic>
                  <pic:nvPicPr>
                    <pic:cNvPr descr="figs/lz-fig-16-subdomain-hierarchy.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Cs/>
          <w:b/>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85"/>
    <w:bookmarkStart w:id="86" w:name="sec-subdomain-certs"/>
    <w:p>
      <w:pPr>
        <w:pStyle w:val="Heading3"/>
      </w:pPr>
      <w:r>
        <w:t xml:space="preserve">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 {.striped .hover}</w:t>
      </w:r>
    </w:p>
    <w:tbl>
      <w:tblPr>
        <w:tblStyle w:val="Table"/>
        <w:tblW w:type="pct" w:w="5000"/>
        <w:tblLook w:firstRow="1" w:lastRow="0" w:firstColumn="0" w:lastColumn="0" w:noHBand="0" w:noVBand="0" w:val="0020"/>
        <w:jc w:val="start"/>
        <w:tblCaption w:val="Wildcard certificate scope by namespace level {.striped .hover}"/>
      </w:tblPr>
      <w:tblGrid>
        <w:gridCol w:w="2640"/>
        <w:gridCol w:w="2640"/>
        <w:gridCol w:w="2640"/>
      </w:tblGrid>
      <w:tr>
        <w:trPr>
          <w:tblHeader w:val="true"/>
        </w:trPr>
        <w:tc>
          <w:tcPr/>
          <w:p>
            <w:pPr>
              <w:pStyle w:val="Compact"/>
              <w:jc w:val="left"/>
            </w:pPr>
            <w:r>
              <w:t xml:space="preserve">Wildcard</w:t>
            </w:r>
          </w:p>
        </w:tc>
        <w:tc>
          <w:tcPr/>
          <w:p>
            <w:pPr>
              <w:pStyle w:val="Compact"/>
              <w:jc w:val="left"/>
            </w:pPr>
            <w:r>
              <w:t xml:space="preserve">Covers</w:t>
            </w:r>
          </w:p>
        </w:tc>
        <w:tc>
          <w:tcPr/>
          <w:p>
            <w:pPr>
              <w:pStyle w:val="Compact"/>
              <w:jc w:val="left"/>
            </w:pPr>
            <w:r>
              <w:t xml:space="preserve">Does Not Cover</w:t>
            </w:r>
          </w:p>
        </w:tc>
      </w:tr>
      <w:tr>
        <w:tc>
          <w:tcPr/>
          <w:p>
            <w:pPr>
              <w:pStyle w:val="Compact"/>
              <w:jc w:val="left"/>
            </w:pPr>
            <w:r>
              <w:rPr>
                <w:rStyle w:val="VerbatimChar"/>
              </w:rPr>
              <w:t xml:space="preserve">*.ssa.gov</w:t>
            </w:r>
          </w:p>
        </w:tc>
        <w:tc>
          <w:tcPr/>
          <w:p>
            <w:pPr>
              <w:pStyle w:val="Compact"/>
              <w:jc w:val="lef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jc w:val="left"/>
            </w:pPr>
            <w:r>
              <w:rPr>
                <w:rStyle w:val="VerbatimChar"/>
              </w:rPr>
              <w:t xml:space="preserve">prod.api.ssa.gov</w:t>
            </w:r>
            <w:r>
              <w:t xml:space="preserve">,</w:t>
            </w:r>
            <w:r>
              <w:t xml:space="preserve"> </w:t>
            </w:r>
            <w:r>
              <w:rPr>
                <w:rStyle w:val="VerbatimChar"/>
              </w:rPr>
              <w:t xml:space="preserve">us-east.vc.ssa.gov</w:t>
            </w:r>
          </w:p>
        </w:tc>
      </w:tr>
      <w:tr>
        <w:tc>
          <w:tcPr/>
          <w:p>
            <w:pPr>
              <w:pStyle w:val="Compact"/>
              <w:jc w:val="left"/>
            </w:pPr>
            <w:r>
              <w:rPr>
                <w:rStyle w:val="VerbatimChar"/>
              </w:rPr>
              <w:t xml:space="preserve">*.api.ssa.gov</w:t>
            </w:r>
          </w:p>
        </w:tc>
        <w:tc>
          <w:tcPr/>
          <w:p>
            <w:pPr>
              <w:pStyle w:val="Compact"/>
              <w:jc w:val="left"/>
            </w:pPr>
            <w:r>
              <w:rPr>
                <w:rStyle w:val="VerbatimChar"/>
              </w:rPr>
              <w:t xml:space="preserve">prod.api.ssa.gov</w:t>
            </w:r>
            <w:r>
              <w:t xml:space="preserve">,</w:t>
            </w:r>
            <w:r>
              <w:t xml:space="preserve"> </w:t>
            </w:r>
            <w:r>
              <w:rPr>
                <w:rStyle w:val="VerbatimChar"/>
              </w:rPr>
              <w:t xml:space="preserve">staging.api.ssa.gov</w:t>
            </w:r>
          </w:p>
        </w:tc>
        <w:tc>
          <w:tcPr/>
          <w:p>
            <w:pPr>
              <w:pStyle w:val="Compact"/>
              <w:jc w:val="left"/>
            </w:pPr>
            <w:r>
              <w:t xml:space="preserve">deeper labels</w:t>
            </w:r>
          </w:p>
        </w:tc>
      </w:tr>
      <w:tr>
        <w:tc>
          <w:tcPr/>
          <w:p>
            <w:pPr>
              <w:pStyle w:val="Compact"/>
              <w:jc w:val="left"/>
            </w:pPr>
            <w:r>
              <w:rPr>
                <w:rStyle w:val="VerbatimChar"/>
              </w:rPr>
              <w:t xml:space="preserve">*.internal.ssa.gov</w:t>
            </w:r>
          </w:p>
        </w:tc>
        <w:tc>
          <w:tcPr/>
          <w:p>
            <w:pPr>
              <w:pStyle w:val="Compact"/>
              <w:jc w:val="left"/>
            </w:pPr>
            <w:r>
              <w:rPr>
                <w:rStyle w:val="VerbatimChar"/>
              </w:rPr>
              <w:t xml:space="preserve">vmw.internal.ssa.gov</w:t>
            </w:r>
            <w:r>
              <w:t xml:space="preserve">,</w:t>
            </w:r>
            <w:r>
              <w:t xml:space="preserve"> </w:t>
            </w:r>
            <w:r>
              <w:rPr>
                <w:rStyle w:val="VerbatimChar"/>
              </w:rPr>
              <w:t xml:space="preserve">azure.internal.ssa.gov</w:t>
            </w:r>
          </w:p>
        </w:tc>
        <w:tc>
          <w:tcPr/>
          <w:p>
            <w:pPr>
              <w:pStyle w:val="Compact"/>
              <w:jc w:val="left"/>
            </w:pPr>
            <w:r>
              <w:t xml:space="preserve">deeper labels</w:t>
            </w:r>
          </w:p>
        </w:tc>
      </w:tr>
      <w:tr>
        <w:tc>
          <w:tcPr/>
          <w:p>
            <w:pPr>
              <w:pStyle w:val="Compact"/>
              <w:jc w:val="left"/>
            </w:pPr>
            <w:r>
              <w:rPr>
                <w:rStyle w:val="VerbatimChar"/>
              </w:rPr>
              <w:t xml:space="preserve">*.vc.ssa.gov</w:t>
            </w:r>
          </w:p>
        </w:tc>
        <w:tc>
          <w:tcPr/>
          <w:p>
            <w:pPr>
              <w:pStyle w:val="Compact"/>
              <w:jc w:val="left"/>
            </w:pPr>
            <w:r>
              <w:t xml:space="preserve">all video conferencing endpoints</w:t>
            </w:r>
          </w:p>
        </w:tc>
        <w:tc>
          <w:tcPr/>
          <w:p>
            <w:pPr>
              <w:pStyle w:val="Compact"/>
              <w:jc w:val="left"/>
            </w:pPr>
            <w:r>
              <w:t xml:space="preserve">deeper labels</w:t>
            </w:r>
          </w:p>
        </w:tc>
      </w:tr>
    </w:tbl>
    <w:p>
      <w:pPr>
        <w:pStyle w:val="BodyText"/>
      </w:pPr>
      <w:r>
        <w:t xml:space="preserve">The certificate lifecycle described in</w:t>
      </w:r>
      <w:r>
        <w:t xml:space="preserve"> </w:t>
      </w:r>
      <w:r>
        <w:t xml:space="preserve">[Section -@sec-certs]</w:t>
      </w:r>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86"/>
    <w:bookmarkStart w:id="90" w:name="sec-subdomain-split"/>
    <w:p>
      <w:pPr>
        <w:pStyle w:val="Heading3"/>
      </w:pPr>
      <w:r>
        <w:t xml:space="preserve">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 {.striped .hover}</w:t>
      </w:r>
    </w:p>
    <w:tbl>
      <w:tblPr>
        <w:tblStyle w:val="Table"/>
        <w:tblW w:type="pct" w:w="5000"/>
        <w:tblLook w:firstRow="1" w:lastRow="0" w:firstColumn="0" w:lastColumn="0" w:noHBand="0" w:noVBand="0" w:val="0020"/>
        <w:jc w:val="start"/>
        <w:tblCaption w:val="InfoBlox DNS view configuration for SSA {.striped .hover}"/>
      </w:tblPr>
      <w:tblGrid>
        <w:gridCol w:w="1980"/>
        <w:gridCol w:w="1980"/>
        <w:gridCol w:w="1980"/>
        <w:gridCol w:w="1980"/>
      </w:tblGrid>
      <w:tr>
        <w:trPr>
          <w:tblHeader w:val="true"/>
        </w:trPr>
        <w:tc>
          <w:tcPr/>
          <w:p>
            <w:pPr>
              <w:pStyle w:val="Compact"/>
              <w:jc w:val="left"/>
            </w:pPr>
            <w:r>
              <w:t xml:space="preserve">View</w:t>
            </w:r>
          </w:p>
        </w:tc>
        <w:tc>
          <w:tcPr/>
          <w:p>
            <w:pPr>
              <w:pStyle w:val="Compact"/>
              <w:jc w:val="left"/>
            </w:pPr>
            <w:r>
              <w:t xml:space="preserve">Source Networks</w:t>
            </w:r>
          </w:p>
        </w:tc>
        <w:tc>
          <w:tcPr/>
          <w:p>
            <w:pPr>
              <w:pStyle w:val="Compact"/>
              <w:jc w:val="left"/>
            </w:pPr>
            <w:r>
              <w:t xml:space="preserve">Zones Served</w:t>
            </w:r>
          </w:p>
        </w:tc>
        <w:tc>
          <w:tcPr/>
          <w:p>
            <w:pPr>
              <w:pStyle w:val="Compact"/>
              <w:jc w:val="left"/>
            </w:pPr>
            <w:r>
              <w:t xml:space="preserve">Private IPs Exposed</w:t>
            </w:r>
          </w:p>
        </w:tc>
      </w:tr>
      <w:tr>
        <w:tc>
          <w:tcPr/>
          <w:p>
            <w:pPr>
              <w:pStyle w:val="Compact"/>
              <w:jc w:val="left"/>
            </w:pPr>
            <w:r>
              <w:rPr>
                <w:rStyle w:val="VerbatimChar"/>
              </w:rPr>
              <w:t xml:space="preserve">internal-view</w:t>
            </w:r>
          </w:p>
        </w:tc>
        <w:tc>
          <w:tcPr/>
          <w:p>
            <w:pPr>
              <w:pStyle w:val="Compact"/>
              <w:jc w:val="left"/>
            </w:pPr>
            <w:r>
              <w:t xml:space="preserve">10.0.0.0/8, VPN pool CIDRs</w:t>
            </w:r>
          </w:p>
        </w:tc>
        <w:tc>
          <w:tcPr/>
          <w:p>
            <w:pPr>
              <w:pStyle w:val="Compact"/>
              <w:jc w:val="lef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jc w:val="left"/>
            </w:pPr>
            <w:r>
              <w:t xml:space="preserve">Yes</w:t>
            </w:r>
          </w:p>
        </w:tc>
      </w:tr>
      <w:tr>
        <w:tc>
          <w:tcPr/>
          <w:p>
            <w:pPr>
              <w:pStyle w:val="Compact"/>
              <w:jc w:val="left"/>
            </w:pPr>
            <w:r>
              <w:rPr>
                <w:rStyle w:val="VerbatimChar"/>
              </w:rPr>
              <w:t xml:space="preserve">cloud-internal-view</w:t>
            </w:r>
          </w:p>
        </w:tc>
        <w:tc>
          <w:tcPr/>
          <w:p>
            <w:pPr>
              <w:pStyle w:val="Compact"/>
              <w:jc w:val="left"/>
            </w:pPr>
            <w:r>
              <w:t xml:space="preserve">Azure VNet CIDRs, AWS VPC CIDRs, OCI VCN CIDRs</w:t>
            </w:r>
          </w:p>
        </w:tc>
        <w:tc>
          <w:tcPr/>
          <w:p>
            <w:pPr>
              <w:pStyle w:val="Compact"/>
              <w:jc w:val="left"/>
            </w:pPr>
            <w:r>
              <w:rPr>
                <w:rStyle w:val="VerbatimChar"/>
              </w:rPr>
              <w:t xml:space="preserve">*.internal.ssa.gov</w:t>
            </w:r>
            <w:r>
              <w:t xml:space="preserve">, conditional forwarders to cloud-native DNS</w:t>
            </w:r>
          </w:p>
        </w:tc>
        <w:tc>
          <w:tcPr/>
          <w:p>
            <w:pPr>
              <w:pStyle w:val="Compact"/>
              <w:jc w:val="left"/>
            </w:pPr>
            <w:r>
              <w:t xml:space="preserve">Yes</w:t>
            </w:r>
          </w:p>
        </w:tc>
      </w:tr>
      <w:tr>
        <w:tc>
          <w:tcPr/>
          <w:p>
            <w:pPr>
              <w:pStyle w:val="Compact"/>
              <w:jc w:val="left"/>
            </w:pPr>
            <w:r>
              <w:rPr>
                <w:rStyle w:val="VerbatimChar"/>
              </w:rPr>
              <w:t xml:space="preserve">external-view</w:t>
            </w:r>
          </w:p>
        </w:tc>
        <w:tc>
          <w:tcPr/>
          <w:p>
            <w:pPr>
              <w:pStyle w:val="Compact"/>
              <w:jc w:val="left"/>
            </w:pPr>
            <w:r>
              <w:t xml:space="preserve">All other sources (internet)</w:t>
            </w:r>
          </w:p>
        </w:tc>
        <w:tc>
          <w:tcPr/>
          <w:p>
            <w:pPr>
              <w:pStyle w:val="Compact"/>
              <w:jc w:val="left"/>
            </w:pPr>
            <w:r>
              <w:rPr>
                <w:rStyle w:val="VerbatimChar"/>
              </w:rPr>
              <w:t xml:space="preserve">ssa.gov</w:t>
            </w:r>
            <w:r>
              <w:t xml:space="preserve"> </w:t>
            </w:r>
            <w:r>
              <w:t xml:space="preserve">public records only, DNSSEC-signed</w:t>
            </w:r>
          </w:p>
        </w:tc>
        <w:tc>
          <w:tcPr/>
          <w:p>
            <w:pPr>
              <w:pStyle w:val="Compact"/>
              <w:jc w:val="lef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Cs/>
          <w:b/>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Cs/>
          <w:b/>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Cs/>
          <w:b/>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88" name="Picture"/>
            <a:graphic>
              <a:graphicData uri="http://schemas.openxmlformats.org/drawingml/2006/picture">
                <pic:pic>
                  <pic:nvPicPr>
                    <pic:cNvPr descr="figs/lz-fig-17-split-horizon.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90"/>
    <w:bookmarkStart w:id="91" w:name="sec-subdomain-iac"/>
    <w:p>
      <w:pPr>
        <w:pStyle w:val="Heading3"/>
      </w:pPr>
      <w:r>
        <w:t xml:space="preserve">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Cs/>
          <w:b/>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 {.striped .hover}</w:t>
      </w:r>
    </w:p>
    <w:tbl>
      <w:tblPr>
        <w:tblStyle w:val="Table"/>
        <w:tblW w:type="pct" w:w="5000"/>
        <w:tblLook w:firstRow="1" w:lastRow="0" w:firstColumn="0" w:lastColumn="0" w:noHBand="0" w:noVBand="0" w:val="0020"/>
        <w:jc w:val="start"/>
        <w:tblCaption w:val="vDiscovery naming templates by cloud platform {.striped .hover}"/>
      </w:tblPr>
      <w:tblGrid>
        <w:gridCol w:w="2640"/>
        <w:gridCol w:w="2640"/>
        <w:gridCol w:w="2640"/>
      </w:tblGrid>
      <w:tr>
        <w:trPr>
          <w:tblHeader w:val="true"/>
        </w:trPr>
        <w:tc>
          <w:tcPr/>
          <w:p>
            <w:pPr>
              <w:pStyle w:val="Compact"/>
              <w:jc w:val="left"/>
            </w:pPr>
            <w:r>
              <w:t xml:space="preserve">Platform</w:t>
            </w:r>
          </w:p>
        </w:tc>
        <w:tc>
          <w:tcPr/>
          <w:p>
            <w:pPr>
              <w:pStyle w:val="Compact"/>
              <w:jc w:val="left"/>
            </w:pPr>
            <w:r>
              <w:t xml:space="preserve">vDiscovery Template</w:t>
            </w:r>
          </w:p>
        </w:tc>
        <w:tc>
          <w:tcPr/>
          <w:p>
            <w:pPr>
              <w:pStyle w:val="Compact"/>
              <w:jc w:val="left"/>
            </w:pPr>
            <w:r>
              <w:t xml:space="preserve">Zone</w:t>
            </w:r>
          </w:p>
        </w:tc>
      </w:tr>
      <w:tr>
        <w:tc>
          <w:tcPr/>
          <w:p>
            <w:pPr>
              <w:pStyle w:val="Compact"/>
              <w:jc w:val="left"/>
            </w:pPr>
            <w:r>
              <w:t xml:space="preserve">VMware vSphere</w:t>
            </w:r>
          </w:p>
        </w:tc>
        <w:tc>
          <w:tcPr/>
          <w:p>
            <w:pPr>
              <w:pStyle w:val="Compact"/>
              <w:jc w:val="left"/>
            </w:pPr>
            <w:r>
              <w:rPr>
                <w:rStyle w:val="VerbatimChar"/>
              </w:rPr>
              <w:t xml:space="preserve">{vm_name}.vmw.internal.ssa.gov</w:t>
            </w:r>
          </w:p>
        </w:tc>
        <w:tc>
          <w:tcPr/>
          <w:p>
            <w:pPr>
              <w:pStyle w:val="Compact"/>
              <w:jc w:val="left"/>
            </w:pPr>
            <w:r>
              <w:rPr>
                <w:rStyle w:val="VerbatimChar"/>
              </w:rPr>
              <w:t xml:space="preserve">vmw.internal.ssa.gov</w:t>
            </w:r>
          </w:p>
        </w:tc>
      </w:tr>
      <w:tr>
        <w:tc>
          <w:tcPr/>
          <w:p>
            <w:pPr>
              <w:pStyle w:val="Compact"/>
              <w:jc w:val="left"/>
            </w:pPr>
            <w:r>
              <w:t xml:space="preserve">Azure Government</w:t>
            </w:r>
          </w:p>
        </w:tc>
        <w:tc>
          <w:tcPr/>
          <w:p>
            <w:pPr>
              <w:pStyle w:val="Compact"/>
              <w:jc w:val="left"/>
            </w:pPr>
            <w:r>
              <w:rPr>
                <w:rStyle w:val="VerbatimChar"/>
              </w:rPr>
              <w:t xml:space="preserve">{resource_name}.azure.internal.ssa.gov</w:t>
            </w:r>
          </w:p>
        </w:tc>
        <w:tc>
          <w:tcPr/>
          <w:p>
            <w:pPr>
              <w:pStyle w:val="Compact"/>
              <w:jc w:val="left"/>
            </w:pPr>
            <w:r>
              <w:rPr>
                <w:rStyle w:val="VerbatimChar"/>
              </w:rPr>
              <w:t xml:space="preserve">azure.internal.ssa.gov</w:t>
            </w:r>
          </w:p>
        </w:tc>
      </w:tr>
      <w:tr>
        <w:tc>
          <w:tcPr/>
          <w:p>
            <w:pPr>
              <w:pStyle w:val="Compact"/>
              <w:jc w:val="left"/>
            </w:pPr>
            <w:r>
              <w:t xml:space="preserve">AWS GovCloud</w:t>
            </w:r>
          </w:p>
        </w:tc>
        <w:tc>
          <w:tcPr/>
          <w:p>
            <w:pPr>
              <w:pStyle w:val="Compact"/>
              <w:jc w:val="left"/>
            </w:pPr>
            <w:r>
              <w:rPr>
                <w:rStyle w:val="VerbatimChar"/>
              </w:rPr>
              <w:t xml:space="preserve">{instance_name}.aws.internal.ssa.gov</w:t>
            </w:r>
          </w:p>
        </w:tc>
        <w:tc>
          <w:tcPr/>
          <w:p>
            <w:pPr>
              <w:pStyle w:val="Compact"/>
              <w:jc w:val="left"/>
            </w:pPr>
            <w:r>
              <w:rPr>
                <w:rStyle w:val="VerbatimChar"/>
              </w:rPr>
              <w:t xml:space="preserve">aws.internal.ssa.gov</w:t>
            </w:r>
          </w:p>
        </w:tc>
      </w:tr>
      <w:tr>
        <w:tc>
          <w:tcPr/>
          <w:p>
            <w:pPr>
              <w:pStyle w:val="Compact"/>
              <w:jc w:val="left"/>
            </w:pPr>
            <w:r>
              <w:t xml:space="preserve">Oracle OCI</w:t>
            </w:r>
          </w:p>
        </w:tc>
        <w:tc>
          <w:tcPr/>
          <w:p>
            <w:pPr>
              <w:pStyle w:val="Compact"/>
              <w:jc w:val="left"/>
            </w:pPr>
            <w:r>
              <w:rPr>
                <w:rStyle w:val="VerbatimChar"/>
              </w:rPr>
              <w:t xml:space="preserve">{instance_name}.oci.internal.ssa.gov</w:t>
            </w:r>
          </w:p>
        </w:tc>
        <w:tc>
          <w:tcPr/>
          <w:p>
            <w:pPr>
              <w:pStyle w:val="Compact"/>
              <w:jc w:val="lef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Cs/>
          <w:b/>
        </w:rPr>
        <w:t xml:space="preserve">Kubernetes</w:t>
      </w:r>
      <w:r>
        <w:rPr>
          <w:bCs/>
          <w:b/>
        </w:rPr>
        <w:t xml:space="preserve"> </w:t>
      </w:r>
      <w:r>
        <w:rPr>
          <w:rStyle w:val="VerbatimChar"/>
          <w:bCs/>
          <w:b/>
        </w:rPr>
        <w:t xml:space="preserve">external-dns</w:t>
      </w:r>
      <w:r>
        <w:rPr>
          <w:bCs/>
          <w:b/>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91"/>
    <w:bookmarkStart w:id="92" w:name="sec-subdomain-rpz"/>
    <w:p>
      <w:pPr>
        <w:pStyle w:val="Heading3"/>
      </w:pPr>
      <w:r>
        <w:t xml:space="preserve">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 {.striped .hover}</w:t>
      </w:r>
    </w:p>
    <w:tbl>
      <w:tblPr>
        <w:tblStyle w:val="Table"/>
        <w:tblW w:type="pct" w:w="5000"/>
        <w:tblLook w:firstRow="1" w:lastRow="0" w:firstColumn="0" w:lastColumn="0" w:noHBand="0" w:noVBand="0" w:val="0020"/>
        <w:jc w:val="start"/>
        <w:tblCaption w:val="RPZ policy attachment by subdomain zone {.striped .hover}"/>
      </w:tblPr>
      <w:tblGrid>
        <w:gridCol w:w="3960"/>
        <w:gridCol w:w="3960"/>
      </w:tblGrid>
      <w:tr>
        <w:trPr>
          <w:tblHeader w:val="true"/>
        </w:trPr>
        <w:tc>
          <w:tcPr/>
          <w:p>
            <w:pPr>
              <w:pStyle w:val="Compact"/>
              <w:jc w:val="left"/>
            </w:pPr>
            <w:r>
              <w:t xml:space="preserve">Zone</w:t>
            </w:r>
          </w:p>
        </w:tc>
        <w:tc>
          <w:tcPr/>
          <w:p>
            <w:pPr>
              <w:pStyle w:val="Compact"/>
              <w:jc w:val="left"/>
            </w:pPr>
            <w:r>
              <w:t xml:space="preserve">RPZ Policy</w:t>
            </w:r>
          </w:p>
        </w:tc>
      </w:tr>
      <w:tr>
        <w:tc>
          <w:tcPr/>
          <w:p>
            <w:pPr>
              <w:pStyle w:val="Compact"/>
              <w:jc w:val="left"/>
            </w:pPr>
            <w:r>
              <w:rPr>
                <w:rStyle w:val="VerbatimChar"/>
              </w:rPr>
              <w:t xml:space="preserve">ssa.gov</w:t>
            </w:r>
            <w:r>
              <w:t xml:space="preserve"> </w:t>
            </w:r>
            <w:r>
              <w:t xml:space="preserve">external view</w:t>
            </w:r>
          </w:p>
        </w:tc>
        <w:tc>
          <w:tcPr/>
          <w:p>
            <w:pPr>
              <w:pStyle w:val="Compact"/>
              <w:jc w:val="left"/>
            </w:pPr>
            <w:r>
              <w:t xml:space="preserve">CISA threat intelligence feed + M365 GCC allow-list</w:t>
            </w:r>
          </w:p>
        </w:tc>
      </w:tr>
      <w:tr>
        <w:tc>
          <w:tcPr/>
          <w:p>
            <w:pPr>
              <w:pStyle w:val="Compact"/>
              <w:jc w:val="left"/>
            </w:pPr>
            <w:r>
              <w:rPr>
                <w:rStyle w:val="VerbatimChar"/>
              </w:rPr>
              <w:t xml:space="preserve">vc.ssa.gov</w:t>
            </w:r>
          </w:p>
        </w:tc>
        <w:tc>
          <w:tcPr/>
          <w:p>
            <w:pPr>
              <w:pStyle w:val="Compact"/>
              <w:jc w:val="left"/>
            </w:pPr>
            <w:r>
              <w:t xml:space="preserve">SIP/H.323 federation allow-list; block unapproved conferencing endpoints</w:t>
            </w:r>
          </w:p>
        </w:tc>
      </w:tr>
      <w:tr>
        <w:tc>
          <w:tcPr/>
          <w:p>
            <w:pPr>
              <w:pStyle w:val="Compact"/>
              <w:jc w:val="left"/>
            </w:pPr>
            <w:r>
              <w:rPr>
                <w:rStyle w:val="VerbatimChar"/>
              </w:rPr>
              <w:t xml:space="preserve">internal.ssa.gov</w:t>
            </w:r>
          </w:p>
        </w:tc>
        <w:tc>
          <w:tcPr/>
          <w:p>
            <w:pPr>
              <w:pStyle w:val="Compact"/>
              <w:jc w:val="left"/>
            </w:pPr>
            <w:r>
              <w:t xml:space="preserve">Internal-only flag — NXDOMAIN for any external resolution attempt</w:t>
            </w:r>
          </w:p>
        </w:tc>
      </w:tr>
      <w:tr>
        <w:tc>
          <w:tcPr/>
          <w:p>
            <w:pPr>
              <w:pStyle w:val="Compact"/>
              <w:jc w:val="left"/>
            </w:pPr>
            <w:r>
              <w:rPr>
                <w:rStyle w:val="VerbatimChar"/>
              </w:rPr>
              <w:t xml:space="preserve">mgmt.ssa.gov</w:t>
            </w:r>
          </w:p>
        </w:tc>
        <w:tc>
          <w:tcPr/>
          <w:p>
            <w:pPr>
              <w:pStyle w:val="Compact"/>
              <w:jc w:val="lef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92"/>
    <w:bookmarkStart w:id="93" w:name="sec-subdomain-nist"/>
    <w:p>
      <w:pPr>
        <w:pStyle w:val="Heading3"/>
      </w:pPr>
      <w:r>
        <w:t xml:space="preserve">Additional NIST Controls from Namespace Design</w:t>
      </w:r>
    </w:p>
    <w:p>
      <w:pPr>
        <w:pStyle w:val="FirstParagraph"/>
      </w:pPr>
      <w:r>
        <w:t xml:space="preserve">The subdomain strategy adds three controls to the NIST mapping in</w:t>
      </w:r>
      <w:r>
        <w:t xml:space="preserve"> </w:t>
      </w:r>
      <w:r>
        <w:t xml:space="preserve">[Section -@sec-nist]</w:t>
      </w:r>
      <w:r>
        <w:t xml:space="preserve">:</w:t>
      </w:r>
    </w:p>
    <w:p>
      <w:pPr>
        <w:pStyle w:val="TableCaption"/>
      </w:pPr>
      <w:r>
        <w:t xml:space="preserve">Additional controls from subdomain namespace design {.striped .hover}</w:t>
      </w:r>
    </w:p>
    <w:tbl>
      <w:tblPr>
        <w:tblStyle w:val="Table"/>
        <w:tblW w:type="pct" w:w="5000"/>
        <w:tblLook w:firstRow="1" w:lastRow="0" w:firstColumn="0" w:lastColumn="0" w:noHBand="0" w:noVBand="0" w:val="0020"/>
        <w:jc w:val="start"/>
        <w:tblCaption w:val="Additional controls from subdomain namespace design {.striped .hover}"/>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Contribution</w:t>
            </w:r>
          </w:p>
        </w:tc>
      </w:tr>
      <w:tr>
        <w:tc>
          <w:tcPr/>
          <w:p>
            <w:pPr>
              <w:pStyle w:val="Compact"/>
              <w:jc w:val="left"/>
            </w:pPr>
            <w:r>
              <w:t xml:space="preserve">SC-22</w:t>
            </w:r>
          </w:p>
        </w:tc>
        <w:tc>
          <w:tcPr/>
          <w:p>
            <w:pPr>
              <w:pStyle w:val="Compact"/>
              <w:jc w:val="left"/>
            </w:pPr>
            <w:r>
              <w:t xml:space="preserve">Architecture and Provisioning for Name/Address Resolution</w:t>
            </w:r>
          </w:p>
        </w:tc>
        <w:tc>
          <w:tcPr/>
          <w:p>
            <w:pPr>
              <w:pStyle w:val="Compact"/>
              <w:jc w:val="left"/>
            </w:pPr>
            <w:r>
              <w:t xml:space="preserve">Zone hierarchy with delegated authority and view separation enforcing internal/external boundary</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Internal views prevent DNS resolution from cloud environments to unapproved external destinations; RPZ at zone level enforces M365 GCC allow-list</w:t>
            </w:r>
          </w:p>
        </w:tc>
      </w:tr>
      <w:tr>
        <w:tc>
          <w:tcPr/>
          <w:p>
            <w:pPr>
              <w:pStyle w:val="Compact"/>
              <w:jc w:val="left"/>
            </w:pPr>
            <w:r>
              <w:t xml:space="preserve">SA-9</w:t>
            </w:r>
          </w:p>
        </w:tc>
        <w:tc>
          <w:tcPr/>
          <w:p>
            <w:pPr>
              <w:pStyle w:val="Compact"/>
              <w:jc w:val="left"/>
            </w:pPr>
            <w:r>
              <w:t xml:space="preserve">External System Services</w:t>
            </w:r>
          </w:p>
        </w:tc>
        <w:tc>
          <w:tcPr/>
          <w:p>
            <w:pPr>
              <w:pStyle w:val="Compact"/>
              <w:jc w:val="lef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93"/>
    <w:bookmarkEnd w:id="94"/>
    <w:bookmarkStart w:id="99" w:name="sec-dns-steering"/>
    <w:p>
      <w:pPr>
        <w:pStyle w:val="Heading2"/>
      </w:pPr>
      <w:r>
        <w:t xml:space="preserve">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96" name="Picture"/>
            <a:graphic>
              <a:graphicData uri="http://schemas.openxmlformats.org/drawingml/2006/picture">
                <pic:pic>
                  <pic:nvPicPr>
                    <pic:cNvPr descr="figs/lz-fig-18-dns-traffic-steering.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w:t>
      </w:r>
      <w:r>
        <w:t xml:space="preserve">load balancer</w:t>
      </w:r>
      <w:r>
        <w:t xml:space="preserve">”</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Cs/>
          <w:i/>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Cs/>
          <w:i/>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98">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w:t>
      </w:r>
      <w:r>
        <w:t xml:space="preserve">procure a GSLB replacement.</w:t>
      </w:r>
      <w:r>
        <w:t xml:space="preserve">”</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99"/>
    <w:bookmarkStart w:id="100" w:name="sec-nist"/>
    <w:p>
      <w:pPr>
        <w:pStyle w:val="Heading2"/>
      </w:pPr>
      <w:r>
        <w:t xml:space="preserve">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 {.striped .hover}</w:t>
      </w:r>
    </w:p>
    <w:tbl>
      <w:tblPr>
        <w:tblStyle w:val="Table"/>
        <w:tblW w:type="pct" w:w="5000"/>
        <w:tblLook w:firstRow="1" w:lastRow="0" w:firstColumn="0" w:lastColumn="0" w:noHBand="0" w:noVBand="0" w:val="0020"/>
        <w:jc w:val="start"/>
        <w:tblCaption w:val="NIST SP 800-53 Rev 5 Control Coverage {.striped .hover}"/>
      </w:tblPr>
      <w:tblGrid>
        <w:gridCol w:w="1980"/>
        <w:gridCol w:w="1980"/>
        <w:gridCol w:w="1980"/>
        <w:gridCol w:w="1980"/>
      </w:tblGrid>
      <w:tr>
        <w:trPr>
          <w:tblHeader w:val="true"/>
        </w:trPr>
        <w:tc>
          <w:tcPr/>
          <w:p>
            <w:pPr>
              <w:pStyle w:val="Compact"/>
              <w:jc w:val="left"/>
            </w:pPr>
            <w:r>
              <w:t xml:space="preserve">Control</w:t>
            </w:r>
          </w:p>
        </w:tc>
        <w:tc>
          <w:tcPr/>
          <w:p>
            <w:pPr>
              <w:pStyle w:val="Compact"/>
              <w:jc w:val="left"/>
            </w:pPr>
            <w:r>
              <w:t xml:space="preserve">What InfoBlox DDI Provides</w:t>
            </w:r>
          </w:p>
        </w:tc>
        <w:tc>
          <w:tcPr/>
          <w:p>
            <w:pPr>
              <w:pStyle w:val="Compact"/>
              <w:jc w:val="left"/>
            </w:pPr>
            <w:r>
              <w:t xml:space="preserve">Evidence Artifact</w:t>
            </w:r>
          </w:p>
        </w:tc>
        <w:tc>
          <w:tcPr/>
          <w:p>
            <w:pPr>
              <w:pStyle w:val="Compact"/>
              <w:jc w:val="left"/>
            </w:pPr>
            <w:r>
              <w:t xml:space="preserve">Satisfies</w:t>
            </w:r>
          </w:p>
        </w:tc>
      </w:tr>
      <w:tr>
        <w:tc>
          <w:tcPr/>
          <w:p>
            <w:pPr>
              <w:pStyle w:val="Compact"/>
              <w:jc w:val="left"/>
            </w:pPr>
            <w:r>
              <w:rPr>
                <w:bCs/>
                <w:b/>
              </w:rPr>
              <w:t xml:space="preserve">SC-20</w:t>
            </w:r>
          </w:p>
        </w:tc>
        <w:tc>
          <w:tcPr/>
          <w:p>
            <w:pPr>
              <w:pStyle w:val="Compact"/>
              <w:jc w:val="left"/>
            </w:pPr>
            <w:r>
              <w:t xml:space="preserve">DNSSEC signing of all DNS zones including internal SDN segments</w:t>
            </w:r>
          </w:p>
        </w:tc>
        <w:tc>
          <w:tcPr/>
          <w:p>
            <w:pPr>
              <w:pStyle w:val="Compact"/>
              <w:jc w:val="left"/>
            </w:pPr>
            <w:r>
              <w:t xml:space="preserve">DNSSEC key log; DS record at .gov registrar</w:t>
            </w:r>
          </w:p>
        </w:tc>
        <w:tc>
          <w:tcPr/>
          <w:p>
            <w:pPr>
              <w:pStyle w:val="Compact"/>
              <w:jc w:val="left"/>
            </w:pPr>
            <w:r>
              <w:t xml:space="preserve">SC-20, SC-20(1)</w:t>
            </w:r>
          </w:p>
        </w:tc>
      </w:tr>
      <w:tr>
        <w:tc>
          <w:tcPr/>
          <w:p>
            <w:pPr>
              <w:pStyle w:val="Compact"/>
              <w:jc w:val="left"/>
            </w:pPr>
            <w:r>
              <w:rPr>
                <w:bCs/>
                <w:b/>
              </w:rPr>
              <w:t xml:space="preserve">SC-21</w:t>
            </w:r>
          </w:p>
        </w:tc>
        <w:tc>
          <w:tcPr/>
          <w:p>
            <w:pPr>
              <w:pStyle w:val="Compact"/>
              <w:jc w:val="left"/>
            </w:pPr>
            <w:r>
              <w:t xml:space="preserve">Recursive DNSSEC validation on all Grid Members; RPZ with CISA Protective DNS feed</w:t>
            </w:r>
          </w:p>
        </w:tc>
        <w:tc>
          <w:tcPr/>
          <w:p>
            <w:pPr>
              <w:pStyle w:val="Compact"/>
              <w:jc w:val="left"/>
            </w:pPr>
            <w:r>
              <w:t xml:space="preserve">RPZ hit log → SIEM; validation failure alert</w:t>
            </w:r>
          </w:p>
        </w:tc>
        <w:tc>
          <w:tcPr/>
          <w:p>
            <w:pPr>
              <w:pStyle w:val="Compact"/>
              <w:jc w:val="left"/>
            </w:pPr>
            <w:r>
              <w:t xml:space="preserve">SC-21</w:t>
            </w:r>
          </w:p>
        </w:tc>
      </w:tr>
      <w:tr>
        <w:tc>
          <w:tcPr/>
          <w:p>
            <w:pPr>
              <w:pStyle w:val="Compact"/>
              <w:jc w:val="left"/>
            </w:pPr>
            <w:r>
              <w:rPr>
                <w:bCs/>
                <w:b/>
              </w:rPr>
              <w:t xml:space="preserve">SC-22</w:t>
            </w:r>
          </w:p>
        </w:tc>
        <w:tc>
          <w:tcPr/>
          <w:p>
            <w:pPr>
              <w:pStyle w:val="Compact"/>
              <w:jc w:val="left"/>
            </w:pPr>
            <w:r>
              <w:t xml:space="preserve">Network Insight auto-generates DDI topology; Grid Master-to-Member map</w:t>
            </w:r>
          </w:p>
        </w:tc>
        <w:tc>
          <w:tcPr/>
          <w:p>
            <w:pPr>
              <w:pStyle w:val="Compact"/>
              <w:jc w:val="left"/>
            </w:pPr>
            <w:r>
              <w:t xml:space="preserve">Network Insight export; SSP Appendix J</w:t>
            </w:r>
          </w:p>
        </w:tc>
        <w:tc>
          <w:tcPr/>
          <w:p>
            <w:pPr>
              <w:pStyle w:val="Compact"/>
              <w:jc w:val="left"/>
            </w:pPr>
            <w:r>
              <w:t xml:space="preserve">SC-22</w:t>
            </w:r>
          </w:p>
        </w:tc>
      </w:tr>
      <w:tr>
        <w:tc>
          <w:tcPr/>
          <w:p>
            <w:pPr>
              <w:pStyle w:val="Compact"/>
              <w:jc w:val="left"/>
            </w:pPr>
            <w:r>
              <w:rPr>
                <w:bCs/>
                <w:b/>
              </w:rPr>
              <w:t xml:space="preserve">SC-7</w:t>
            </w:r>
          </w:p>
        </w:tc>
        <w:tc>
          <w:tcPr/>
          <w:p>
            <w:pPr>
              <w:pStyle w:val="Compact"/>
              <w:jc w:val="left"/>
            </w:pPr>
            <w:r>
              <w:t xml:space="preserve">RPZ enforces domain-level egress blocking across all four SDN environments; DNS exfiltration detection</w:t>
            </w:r>
          </w:p>
        </w:tc>
        <w:tc>
          <w:tcPr/>
          <w:p>
            <w:pPr>
              <w:pStyle w:val="Compact"/>
              <w:jc w:val="left"/>
            </w:pPr>
            <w:r>
              <w:t xml:space="preserve">RPZ block rate dashboard; exfil alert config</w:t>
            </w:r>
          </w:p>
        </w:tc>
        <w:tc>
          <w:tcPr/>
          <w:p>
            <w:pPr>
              <w:pStyle w:val="Compact"/>
              <w:jc w:val="left"/>
            </w:pPr>
            <w:r>
              <w:t xml:space="preserve">SC-7, SC-7(7)</w:t>
            </w:r>
          </w:p>
        </w:tc>
      </w:tr>
      <w:tr>
        <w:tc>
          <w:tcPr/>
          <w:p>
            <w:pPr>
              <w:pStyle w:val="Compact"/>
              <w:jc w:val="left"/>
            </w:pPr>
            <w:r>
              <w:rPr>
                <w:bCs/>
                <w:b/>
              </w:rPr>
              <w:t xml:space="preserve">SC-8</w:t>
            </w:r>
          </w:p>
        </w:tc>
        <w:tc>
          <w:tcPr/>
          <w:p>
            <w:pPr>
              <w:pStyle w:val="Compact"/>
              <w:jc w:val="left"/>
            </w:pPr>
            <w:r>
              <w:t xml:space="preserve">mTLS between workloads via certificate-to-IP binding; SCEP/EST enrollment before service traffic</w:t>
            </w:r>
          </w:p>
        </w:tc>
        <w:tc>
          <w:tcPr/>
          <w:p>
            <w:pPr>
              <w:pStyle w:val="Compact"/>
              <w:jc w:val="left"/>
            </w:pPr>
            <w:r>
              <w:t xml:space="preserve">Certificate Tracker report; mTLS config</w:t>
            </w:r>
          </w:p>
        </w:tc>
        <w:tc>
          <w:tcPr/>
          <w:p>
            <w:pPr>
              <w:pStyle w:val="Compact"/>
              <w:jc w:val="left"/>
            </w:pPr>
            <w:r>
              <w:t xml:space="preserve">SC-8, SC-8(1)</w:t>
            </w:r>
          </w:p>
        </w:tc>
      </w:tr>
      <w:tr>
        <w:tc>
          <w:tcPr/>
          <w:p>
            <w:pPr>
              <w:pStyle w:val="Compact"/>
              <w:jc w:val="left"/>
            </w:pPr>
            <w:r>
              <w:rPr>
                <w:bCs/>
                <w:b/>
              </w:rPr>
              <w:t xml:space="preserve">CM-8</w:t>
            </w:r>
          </w:p>
        </w:tc>
        <w:tc>
          <w:tcPr/>
          <w:p>
            <w:pPr>
              <w:pStyle w:val="Compact"/>
              <w:jc w:val="left"/>
            </w:pPr>
            <w:r>
              <w:t xml:space="preserve">Every IP host record = CM-8 inventory item; SDN connector enriches with VM name, OS, owner, cloud region</w:t>
            </w:r>
          </w:p>
        </w:tc>
        <w:tc>
          <w:tcPr/>
          <w:p>
            <w:pPr>
              <w:pStyle w:val="Compact"/>
              <w:jc w:val="left"/>
            </w:pPr>
            <w:r>
              <w:t xml:space="preserve">IP host record export to ServiceNow CMDB</w:t>
            </w:r>
          </w:p>
        </w:tc>
        <w:tc>
          <w:tcPr/>
          <w:p>
            <w:pPr>
              <w:pStyle w:val="Compact"/>
              <w:jc w:val="left"/>
            </w:pPr>
            <w:r>
              <w:t xml:space="preserve">CM-8, CM-8(1)</w:t>
            </w:r>
          </w:p>
        </w:tc>
      </w:tr>
      <w:tr>
        <w:tc>
          <w:tcPr/>
          <w:p>
            <w:pPr>
              <w:pStyle w:val="Compact"/>
              <w:jc w:val="left"/>
            </w:pPr>
            <w:r>
              <w:rPr>
                <w:bCs/>
                <w:b/>
              </w:rPr>
              <w:t xml:space="preserve">CM-2</w:t>
            </w:r>
          </w:p>
        </w:tc>
        <w:tc>
          <w:tcPr/>
          <w:p>
            <w:pPr>
              <w:pStyle w:val="Compact"/>
              <w:jc w:val="left"/>
            </w:pPr>
            <w:r>
              <w:t xml:space="preserve">IaC integration creates IP+DNS+cert records atomically and destroys them on decommission</w:t>
            </w:r>
          </w:p>
        </w:tc>
        <w:tc>
          <w:tcPr/>
          <w:p>
            <w:pPr>
              <w:pStyle w:val="Compact"/>
              <w:jc w:val="left"/>
            </w:pPr>
            <w:r>
              <w:t xml:space="preserve">Terraform state; IP lifecycle audit log</w:t>
            </w:r>
          </w:p>
        </w:tc>
        <w:tc>
          <w:tcPr/>
          <w:p>
            <w:pPr>
              <w:pStyle w:val="Compact"/>
              <w:jc w:val="left"/>
            </w:pPr>
            <w:r>
              <w:t xml:space="preserve">CM-2, CM-6</w:t>
            </w:r>
          </w:p>
        </w:tc>
      </w:tr>
      <w:tr>
        <w:tc>
          <w:tcPr/>
          <w:p>
            <w:pPr>
              <w:pStyle w:val="Compact"/>
              <w:jc w:val="left"/>
            </w:pPr>
            <w:r>
              <w:rPr>
                <w:bCs/>
                <w:b/>
              </w:rPr>
              <w:t xml:space="preserve">SA-9</w:t>
            </w:r>
          </w:p>
        </w:tc>
        <w:tc>
          <w:tcPr/>
          <w:p>
            <w:pPr>
              <w:pStyle w:val="Compact"/>
              <w:jc w:val="left"/>
            </w:pPr>
            <w:r>
              <w:t xml:space="preserve">External DNS registered as governed external services; all forwarded queries logged; OPM HRIT documented</w:t>
            </w:r>
          </w:p>
        </w:tc>
        <w:tc>
          <w:tcPr/>
          <w:p>
            <w:pPr>
              <w:pStyle w:val="Compact"/>
              <w:jc w:val="left"/>
            </w:pPr>
            <w:r>
              <w:t xml:space="preserve">Forwarder config export; SSP SA-9 table</w:t>
            </w:r>
          </w:p>
        </w:tc>
        <w:tc>
          <w:tcPr/>
          <w:p>
            <w:pPr>
              <w:pStyle w:val="Compact"/>
              <w:jc w:val="left"/>
            </w:pPr>
            <w:r>
              <w:t xml:space="preserve">SA-9</w:t>
            </w:r>
          </w:p>
        </w:tc>
      </w:tr>
      <w:tr>
        <w:tc>
          <w:tcPr/>
          <w:p>
            <w:pPr>
              <w:pStyle w:val="Compact"/>
              <w:jc w:val="left"/>
            </w:pPr>
            <w:r>
              <w:rPr>
                <w:bCs/>
                <w:b/>
              </w:rPr>
              <w:t xml:space="preserve">IA-5(2)</w:t>
            </w:r>
          </w:p>
        </w:tc>
        <w:tc>
          <w:tcPr/>
          <w:p>
            <w:pPr>
              <w:pStyle w:val="Compact"/>
              <w:jc w:val="left"/>
            </w:pPr>
            <w:r>
              <w:t xml:space="preserve">Certificate Tracker links cert thumbprint+expiry+issuer to IP host record; ADCS/Key Vault/ACM/OCI cert metadata</w:t>
            </w:r>
          </w:p>
        </w:tc>
        <w:tc>
          <w:tcPr/>
          <w:p>
            <w:pPr>
              <w:pStyle w:val="Compact"/>
              <w:jc w:val="left"/>
            </w:pPr>
            <w:r>
              <w:t xml:space="preserve">Cert inventory report; expiry alert log</w:t>
            </w:r>
          </w:p>
        </w:tc>
        <w:tc>
          <w:tcPr/>
          <w:p>
            <w:pPr>
              <w:pStyle w:val="Compact"/>
              <w:jc w:val="left"/>
            </w:pPr>
            <w:r>
              <w:t xml:space="preserve">IA-5(2)</w:t>
            </w:r>
          </w:p>
        </w:tc>
      </w:tr>
      <w:tr>
        <w:tc>
          <w:tcPr/>
          <w:p>
            <w:pPr>
              <w:pStyle w:val="Compact"/>
              <w:jc w:val="left"/>
            </w:pPr>
            <w:r>
              <w:rPr>
                <w:bCs/>
                <w:b/>
              </w:rPr>
              <w:t xml:space="preserve">IA-9</w:t>
            </w:r>
          </w:p>
        </w:tc>
        <w:tc>
          <w:tcPr/>
          <w:p>
            <w:pPr>
              <w:pStyle w:val="Compact"/>
              <w:jc w:val="left"/>
            </w:pPr>
            <w:r>
              <w:t xml:space="preserve">Every SDN workload receives a certificate via SCEP/EST automation at provisioning time</w:t>
            </w:r>
          </w:p>
        </w:tc>
        <w:tc>
          <w:tcPr/>
          <w:p>
            <w:pPr>
              <w:pStyle w:val="Compact"/>
              <w:jc w:val="left"/>
            </w:pPr>
            <w:r>
              <w:t xml:space="preserve">SCEP enrollment log; cert-to-IP binding report</w:t>
            </w:r>
          </w:p>
        </w:tc>
        <w:tc>
          <w:tcPr/>
          <w:p>
            <w:pPr>
              <w:pStyle w:val="Compact"/>
              <w:jc w:val="left"/>
            </w:pPr>
            <w:r>
              <w:t xml:space="preserve">IA-9</w:t>
            </w:r>
          </w:p>
        </w:tc>
      </w:tr>
      <w:tr>
        <w:tc>
          <w:tcPr/>
          <w:p>
            <w:pPr>
              <w:pStyle w:val="Compact"/>
              <w:jc w:val="left"/>
            </w:pPr>
            <w:r>
              <w:rPr>
                <w:bCs/>
                <w:b/>
              </w:rPr>
              <w:t xml:space="preserve">AU-2</w:t>
            </w:r>
          </w:p>
        </w:tc>
        <w:tc>
          <w:tcPr/>
          <w:p>
            <w:pPr>
              <w:pStyle w:val="Compact"/>
              <w:jc w:val="left"/>
            </w:pPr>
            <w:r>
              <w:t xml:space="preserve">DNS query events, DHCP lease events, IP allocation events, and cert enrollment events defined and logged</w:t>
            </w:r>
          </w:p>
        </w:tc>
        <w:tc>
          <w:tcPr/>
          <w:p>
            <w:pPr>
              <w:pStyle w:val="Compact"/>
              <w:jc w:val="left"/>
            </w:pPr>
            <w:r>
              <w:t xml:space="preserve">SIEM event catalog; AU-2 event list</w:t>
            </w:r>
          </w:p>
        </w:tc>
        <w:tc>
          <w:tcPr/>
          <w:p>
            <w:pPr>
              <w:pStyle w:val="Compact"/>
              <w:jc w:val="left"/>
            </w:pPr>
            <w:r>
              <w:t xml:space="preserve">AU-2</w:t>
            </w:r>
          </w:p>
        </w:tc>
      </w:tr>
      <w:tr>
        <w:tc>
          <w:tcPr/>
          <w:p>
            <w:pPr>
              <w:pStyle w:val="Compact"/>
              <w:jc w:val="left"/>
            </w:pPr>
            <w:r>
              <w:rPr>
                <w:bCs/>
                <w:b/>
              </w:rPr>
              <w:t xml:space="preserve">AU-12</w:t>
            </w:r>
          </w:p>
        </w:tc>
        <w:tc>
          <w:tcPr/>
          <w:p>
            <w:pPr>
              <w:pStyle w:val="Compact"/>
              <w:jc w:val="left"/>
            </w:pPr>
            <w:r>
              <w:t xml:space="preserve">Single syslog stream from all Grid Members across all four SDN environments; RFC 5424 format; 3-year retention</w:t>
            </w:r>
          </w:p>
        </w:tc>
        <w:tc>
          <w:tcPr/>
          <w:p>
            <w:pPr>
              <w:pStyle w:val="Compact"/>
              <w:jc w:val="left"/>
            </w:pPr>
            <w:r>
              <w:t xml:space="preserve">SIEM dashboards; retention policy</w:t>
            </w:r>
          </w:p>
        </w:tc>
        <w:tc>
          <w:tcPr/>
          <w:p>
            <w:pPr>
              <w:pStyle w:val="Compact"/>
              <w:jc w:val="left"/>
            </w:pPr>
            <w:r>
              <w:t xml:space="preserve">AU-12</w:t>
            </w:r>
          </w:p>
        </w:tc>
      </w:tr>
      <w:tr>
        <w:tc>
          <w:tcPr/>
          <w:p>
            <w:pPr>
              <w:pStyle w:val="Compact"/>
              <w:jc w:val="left"/>
            </w:pPr>
            <w:r>
              <w:rPr>
                <w:bCs/>
                <w:b/>
              </w:rPr>
              <w:t xml:space="preserve">IR-4</w:t>
            </w:r>
          </w:p>
        </w:tc>
        <w:tc>
          <w:tcPr/>
          <w:p>
            <w:pPr>
              <w:pStyle w:val="Compact"/>
              <w:jc w:val="left"/>
            </w:pPr>
            <w:r>
              <w:t xml:space="preserve">RPZ block events auto-generate SIEM IR tickets; DNSSEC failure triggers SOC alerts; DNS exfil detection</w:t>
            </w:r>
          </w:p>
        </w:tc>
        <w:tc>
          <w:tcPr/>
          <w:p>
            <w:pPr>
              <w:pStyle w:val="Compact"/>
              <w:jc w:val="left"/>
            </w:pPr>
            <w:r>
              <w:t xml:space="preserve">IR playbook; RPZ alert→ticket pipeline</w:t>
            </w:r>
          </w:p>
        </w:tc>
        <w:tc>
          <w:tcPr/>
          <w:p>
            <w:pPr>
              <w:pStyle w:val="Compact"/>
              <w:jc w:val="left"/>
            </w:pPr>
            <w:r>
              <w:t xml:space="preserve">IR-4, IR-5</w:t>
            </w:r>
          </w:p>
        </w:tc>
      </w:tr>
      <w:tr>
        <w:tc>
          <w:tcPr/>
          <w:p>
            <w:pPr>
              <w:pStyle w:val="Compact"/>
              <w:jc w:val="left"/>
            </w:pPr>
            <w:r>
              <w:rPr>
                <w:bCs/>
                <w:b/>
              </w:rPr>
              <w:t xml:space="preserve">SI-3</w:t>
            </w:r>
          </w:p>
        </w:tc>
        <w:tc>
          <w:tcPr/>
          <w:p>
            <w:pPr>
              <w:pStyle w:val="Compact"/>
              <w:jc w:val="left"/>
            </w:pPr>
            <w:r>
              <w:t xml:space="preserve">DNS-layer malware blocking via RPZ prevents resolution of C2 domains, ransomware, phishing</w:t>
            </w:r>
          </w:p>
        </w:tc>
        <w:tc>
          <w:tcPr/>
          <w:p>
            <w:pPr>
              <w:pStyle w:val="Compact"/>
              <w:jc w:val="left"/>
            </w:pPr>
            <w:r>
              <w:t xml:space="preserve">RPZ block count by threat category</w:t>
            </w:r>
          </w:p>
        </w:tc>
        <w:tc>
          <w:tcPr/>
          <w:p>
            <w:pPr>
              <w:pStyle w:val="Compact"/>
              <w:jc w:val="left"/>
            </w:pPr>
            <w:r>
              <w:t xml:space="preserve">SI-3, SI-3(1)</w:t>
            </w:r>
          </w:p>
        </w:tc>
      </w:tr>
      <w:tr>
        <w:tc>
          <w:tcPr/>
          <w:p>
            <w:pPr>
              <w:pStyle w:val="Compact"/>
              <w:jc w:val="left"/>
            </w:pPr>
            <w:r>
              <w:rPr>
                <w:bCs/>
                <w:b/>
              </w:rPr>
              <w:t xml:space="preserve">PL-8</w:t>
            </w:r>
          </w:p>
        </w:tc>
        <w:tc>
          <w:tcPr/>
          <w:p>
            <w:pPr>
              <w:pStyle w:val="Compact"/>
              <w:jc w:val="left"/>
            </w:pPr>
            <w:r>
              <w:t xml:space="preserve">Unified DDI architecture in SSP; InfoBlox FedRAMP ATO cited as inherited control for DDI layer</w:t>
            </w:r>
          </w:p>
        </w:tc>
        <w:tc>
          <w:tcPr/>
          <w:p>
            <w:pPr>
              <w:pStyle w:val="Compact"/>
              <w:jc w:val="left"/>
            </w:pPr>
            <w:r>
              <w:t xml:space="preserve">SSP Section 13 architecture narrative</w:t>
            </w:r>
          </w:p>
        </w:tc>
        <w:tc>
          <w:tcPr/>
          <w:p>
            <w:pPr>
              <w:pStyle w:val="Compact"/>
              <w:jc w:val="left"/>
            </w:pPr>
            <w:r>
              <w:t xml:space="preserve">PL-8</w:t>
            </w:r>
          </w:p>
        </w:tc>
      </w:tr>
    </w:tbl>
    <w:p>
      <w:pPr>
        <w:pStyle w:val="BodyText"/>
      </w:pPr>
      <w:r>
        <w:rPr>
          <w:bCs/>
          <w:b/>
        </w:rPr>
        <w:t xml:space="preserve">Closure Necessity — SC-20 / SC-21 / SC-22 (authoritative DNS).</w:t>
      </w:r>
      <w:r>
        <w:t xml:space="preserve"> </w:t>
      </w:r>
      <w:r>
        <w:t xml:space="preserve">SC-20 requires the system to</w:t>
      </w:r>
      <w:r>
        <w:t xml:space="preserve"> </w:t>
      </w:r>
      <w:r>
        <w:rPr>
          <w:iCs/>
          <w:i/>
        </w:rPr>
        <w:t xml:space="preserve">provide</w:t>
      </w:r>
      <w:r>
        <w:t xml:space="preserve"> </w:t>
      </w:r>
      <w:r>
        <w:t xml:space="preserve">origin authentication and integrity verification artifacts with authoritative name resolution responses; SC-21 requires requesting systems to</w:t>
      </w:r>
      <w:r>
        <w:t xml:space="preserve"> </w:t>
      </w:r>
      <w:r>
        <w:rPr>
          <w:iCs/>
          <w:i/>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Cs/>
          <w:i/>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r>
        <w:pict>
          <v:rect style="width:0;height:1.5pt" o:hralign="center" o:hrstd="t" o:hr="t"/>
        </w:pict>
      </w:r>
    </w:p>
    <w:bookmarkEnd w:id="100"/>
    <w:bookmarkStart w:id="108" w:name="sec-ztmm"/>
    <w:p>
      <w:pPr>
        <w:pStyle w:val="Heading2"/>
      </w:pPr>
      <w:r>
        <w:t xml:space="preserve">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02" name="Picture"/>
            <a:graphic>
              <a:graphicData uri="http://schemas.openxmlformats.org/drawingml/2006/picture">
                <pic:pic>
                  <pic:nvPicPr>
                    <pic:cNvPr descr="figs/lz-fig-11-zt-staircase.png" id="103" name="Picture"/>
                    <pic:cNvPicPr>
                      <a:picLocks noChangeArrowheads="1" noChangeAspect="1"/>
                    </pic:cNvPicPr>
                  </pic:nvPicPr>
                  <pic:blipFill>
                    <a:blip r:embed="rId10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04" w:name="sec-zt-networks"/>
    <w:p>
      <w:pPr>
        <w:pStyle w:val="Heading3"/>
      </w:pPr>
      <w:r>
        <w:t xml:space="preserve">Networks Pillar (Deepest Alignment)</w:t>
      </w:r>
    </w:p>
    <w:p>
      <w:pPr>
        <w:pStyle w:val="TableCaption"/>
      </w:pPr>
      <w:r>
        <w:t xml:space="preserve">CISA Zero Trust Networks Pillar Alignment {.striped .hover}</w:t>
      </w:r>
    </w:p>
    <w:tbl>
      <w:tblPr>
        <w:tblStyle w:val="Table"/>
        <w:tblW w:type="pct" w:w="5000"/>
        <w:tblLook w:firstRow="1" w:lastRow="0" w:firstColumn="0" w:lastColumn="0" w:noHBand="0" w:noVBand="0" w:val="0020"/>
        <w:jc w:val="start"/>
        <w:tblCaption w:val="CISA Zero Trust Networks Pillar Alignment {.striped .hover}"/>
      </w:tblPr>
      <w:tblGrid>
        <w:gridCol w:w="2640"/>
        <w:gridCol w:w="2640"/>
        <w:gridCol w:w="2640"/>
      </w:tblGrid>
      <w:tr>
        <w:trPr>
          <w:tblHeader w:val="true"/>
        </w:trPr>
        <w:tc>
          <w:tcPr/>
          <w:p>
            <w:pPr>
              <w:pStyle w:val="Compact"/>
              <w:jc w:val="left"/>
            </w:pPr>
            <w:r>
              <w:t xml:space="preserve">CISA ZT Network Requirement</w:t>
            </w:r>
          </w:p>
        </w:tc>
        <w:tc>
          <w:tcPr/>
          <w:p>
            <w:pPr>
              <w:pStyle w:val="Compact"/>
              <w:jc w:val="left"/>
            </w:pPr>
            <w:r>
              <w:t xml:space="preserve">InfoBlox DDI Implementation</w:t>
            </w:r>
          </w:p>
        </w:tc>
        <w:tc>
          <w:tcPr/>
          <w:p>
            <w:pPr>
              <w:pStyle w:val="Compact"/>
              <w:jc w:val="left"/>
            </w:pPr>
            <w:r>
              <w:t xml:space="preserve">ZT Maturity Level</w:t>
            </w:r>
          </w:p>
        </w:tc>
      </w:tr>
      <w:tr>
        <w:tc>
          <w:tcPr/>
          <w:p>
            <w:pPr>
              <w:pStyle w:val="Compact"/>
              <w:jc w:val="left"/>
            </w:pPr>
            <w:r>
              <w:t xml:space="preserve">Encrypt DNS traffic (DoH/DoT)</w:t>
            </w:r>
          </w:p>
        </w:tc>
        <w:tc>
          <w:tcPr/>
          <w:p>
            <w:pPr>
              <w:pStyle w:val="Compact"/>
              <w:jc w:val="left"/>
            </w:pPr>
            <w:r>
              <w:t xml:space="preserve">Grid Members support DoH/DoT for client queries; DNSSEC validates response integrity end-to-end</w:t>
            </w:r>
          </w:p>
        </w:tc>
        <w:tc>
          <w:tcPr/>
          <w:p>
            <w:pPr>
              <w:pStyle w:val="Compact"/>
              <w:jc w:val="left"/>
            </w:pPr>
            <w:r>
              <w:t xml:space="preserve">Advanced → Optimal</w:t>
            </w:r>
          </w:p>
        </w:tc>
      </w:tr>
      <w:tr>
        <w:tc>
          <w:tcPr/>
          <w:p>
            <w:pPr>
              <w:pStyle w:val="Compact"/>
              <w:jc w:val="left"/>
            </w:pPr>
            <w:r>
              <w:t xml:space="preserve">Implement Protective DNS</w:t>
            </w:r>
          </w:p>
        </w:tc>
        <w:tc>
          <w:tcPr/>
          <w:p>
            <w:pPr>
              <w:pStyle w:val="Compact"/>
              <w:jc w:val="left"/>
            </w:pPr>
            <w:r>
              <w:t xml:space="preserve">RPZ with CISA Protective DNS feed + TIDE commercial threat intel; blocks C2, phishing, DNS tunneling across all SDN environments</w:t>
            </w:r>
          </w:p>
        </w:tc>
        <w:tc>
          <w:tcPr/>
          <w:p>
            <w:pPr>
              <w:pStyle w:val="Compact"/>
              <w:jc w:val="left"/>
            </w:pPr>
            <w:r>
              <w:t xml:space="preserve">Initial → Advanced</w:t>
            </w:r>
          </w:p>
        </w:tc>
      </w:tr>
      <w:tr>
        <w:tc>
          <w:tcPr/>
          <w:p>
            <w:pPr>
              <w:pStyle w:val="Compact"/>
              <w:jc w:val="left"/>
            </w:pPr>
            <w:r>
              <w:t xml:space="preserve">DNS visibility for all workloads</w:t>
            </w:r>
          </w:p>
        </w:tc>
        <w:tc>
          <w:tcPr/>
          <w:p>
            <w:pPr>
              <w:pStyle w:val="Compact"/>
              <w:jc w:val="left"/>
            </w:pPr>
            <w:r>
              <w:t xml:space="preserve">Unified syslog from all Grid Members; every DNS query logged with client IP, query name, response, latency</w:t>
            </w:r>
          </w:p>
        </w:tc>
        <w:tc>
          <w:tcPr/>
          <w:p>
            <w:pPr>
              <w:pStyle w:val="Compact"/>
              <w:jc w:val="left"/>
            </w:pPr>
            <w:r>
              <w:t xml:space="preserve">Initial → Advanced</w:t>
            </w:r>
          </w:p>
        </w:tc>
      </w:tr>
      <w:tr>
        <w:tc>
          <w:tcPr/>
          <w:p>
            <w:pPr>
              <w:pStyle w:val="Compact"/>
              <w:jc w:val="left"/>
            </w:pPr>
            <w:r>
              <w:t xml:space="preserve">IPAM as segmentation enforcement</w:t>
            </w:r>
          </w:p>
        </w:tc>
        <w:tc>
          <w:tcPr/>
          <w:p>
            <w:pPr>
              <w:pStyle w:val="Compact"/>
              <w:jc w:val="left"/>
            </w:pPr>
            <w:r>
              <w:t xml:space="preserve">Network Views enforce CIDR segregation; IaC cannot allocate overlapping CIDRs; segment-level records map to NSX-T security groups and Azure NSGs</w:t>
            </w:r>
          </w:p>
        </w:tc>
        <w:tc>
          <w:tcPr/>
          <w:p>
            <w:pPr>
              <w:pStyle w:val="Compact"/>
              <w:jc w:val="left"/>
            </w:pPr>
            <w:r>
              <w:t xml:space="preserve">Advanced</w:t>
            </w:r>
          </w:p>
        </w:tc>
      </w:tr>
      <w:tr>
        <w:tc>
          <w:tcPr/>
          <w:p>
            <w:pPr>
              <w:pStyle w:val="Compact"/>
              <w:jc w:val="left"/>
            </w:pPr>
            <w:r>
              <w:t xml:space="preserve">SDN micro-segmentation integration</w:t>
            </w:r>
          </w:p>
        </w:tc>
        <w:tc>
          <w:tcPr/>
          <w:p>
            <w:pPr>
              <w:pStyle w:val="Compact"/>
              <w:jc w:val="left"/>
            </w:pPr>
            <w:r>
              <w:t xml:space="preserve">NSX-T security groups can reference InfoBlox IPAM tags (workload classification, owner) as dynamic membership criteria</w:t>
            </w:r>
          </w:p>
        </w:tc>
        <w:tc>
          <w:tcPr/>
          <w:p>
            <w:pPr>
              <w:pStyle w:val="Compact"/>
              <w:jc w:val="left"/>
            </w:pPr>
            <w:r>
              <w:t xml:space="preserve">Advanced → Optimal</w:t>
            </w:r>
          </w:p>
        </w:tc>
      </w:tr>
      <w:tr>
        <w:tc>
          <w:tcPr/>
          <w:p>
            <w:pPr>
              <w:pStyle w:val="Compact"/>
              <w:jc w:val="left"/>
            </w:pPr>
            <w:r>
              <w:t xml:space="preserve">Certificate-based network authentication</w:t>
            </w:r>
          </w:p>
        </w:tc>
        <w:tc>
          <w:tcPr/>
          <w:p>
            <w:pPr>
              <w:pStyle w:val="Compact"/>
              <w:jc w:val="left"/>
            </w:pPr>
            <w:r>
              <w:t xml:space="preserve">Certificate Tracker ensures every IP host record has a bound certificate; IP reputation replaced by certificate identity</w:t>
            </w:r>
          </w:p>
        </w:tc>
        <w:tc>
          <w:tcPr/>
          <w:p>
            <w:pPr>
              <w:pStyle w:val="Compact"/>
              <w:jc w:val="left"/>
            </w:pPr>
            <w:r>
              <w:t xml:space="preserve">Advanced → Optimal</w:t>
            </w:r>
          </w:p>
        </w:tc>
      </w:tr>
    </w:tbl>
    <w:bookmarkEnd w:id="104"/>
    <w:bookmarkStart w:id="105" w:name="sec-zt-identity"/>
    <w:p>
      <w:pPr>
        <w:pStyle w:val="Heading3"/>
      </w:pPr>
      <w:r>
        <w:t xml:space="preserve">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numPr>
          <w:ilvl w:val="0"/>
          <w:numId w:val="1009"/>
        </w:numPr>
        <w:pStyle w:val="Compact"/>
      </w:pPr>
      <w:r>
        <w:t xml:space="preserve">SCEP/EST automation issues certificates to every new workload at provisioning time, establishing machine identity before the first connection</w:t>
      </w:r>
    </w:p>
    <w:p>
      <w:pPr>
        <w:numPr>
          <w:ilvl w:val="0"/>
          <w:numId w:val="1009"/>
        </w:numPr>
        <w:pStyle w:val="Compact"/>
      </w:pPr>
      <w:r>
        <w:t xml:space="preserve">Certificate-to-IP binding enables network devices to verify workload identity from the DNS/IPAM layer without agent deployment</w:t>
      </w:r>
    </w:p>
    <w:p>
      <w:pPr>
        <w:numPr>
          <w:ilvl w:val="0"/>
          <w:numId w:val="1009"/>
        </w:numPr>
        <w:pStyle w:val="Compact"/>
      </w:pPr>
      <w:r>
        <w:t xml:space="preserve">Certificate expiry alerting prevents identity credential expiration — a common cause of authentication outages</w:t>
      </w:r>
    </w:p>
    <w:bookmarkEnd w:id="105"/>
    <w:bookmarkStart w:id="106" w:name="sec-zt-visibility"/>
    <w:p>
      <w:pPr>
        <w:pStyle w:val="Heading3"/>
      </w:pPr>
      <w:r>
        <w:t xml:space="preserve">Cross-Cutting: Visibility and Analytics</w:t>
      </w:r>
    </w:p>
    <w:p>
      <w:pPr>
        <w:pStyle w:val="FirstParagraph"/>
      </w:pPr>
      <w:r>
        <w:t xml:space="preserve">InfoBlox contributes three telemetry streams to CISA’s Visibility and Analytics capability:</w:t>
      </w:r>
    </w:p>
    <w:p>
      <w:pPr>
        <w:numPr>
          <w:ilvl w:val="0"/>
          <w:numId w:val="1010"/>
        </w:numPr>
        <w:pStyle w:val="Compact"/>
      </w:pPr>
      <w:r>
        <w:rPr>
          <w:bCs/>
          <w:b/>
        </w:rPr>
        <w:t xml:space="preserve">DNS query telemetry:</w:t>
      </w:r>
      <w:r>
        <w:t xml:space="preserve"> </w:t>
      </w:r>
      <w:r>
        <w:t xml:space="preserve">every DNS resolution event from every SDN workload, with client IP, query type, response, latency, and RPZ action</w:t>
      </w:r>
    </w:p>
    <w:p>
      <w:pPr>
        <w:numPr>
          <w:ilvl w:val="0"/>
          <w:numId w:val="1010"/>
        </w:numPr>
        <w:pStyle w:val="Compact"/>
      </w:pPr>
      <w:r>
        <w:rPr>
          <w:bCs/>
          <w:b/>
        </w:rPr>
        <w:t xml:space="preserve">DHCP/IP event telemetry:</w:t>
      </w:r>
      <w:r>
        <w:t xml:space="preserve"> </w:t>
      </w:r>
      <w:r>
        <w:t xml:space="preserve">every IP allocation, renewal, and release with device metadata</w:t>
      </w:r>
    </w:p>
    <w:p>
      <w:pPr>
        <w:numPr>
          <w:ilvl w:val="0"/>
          <w:numId w:val="1010"/>
        </w:numPr>
        <w:pStyle w:val="Compact"/>
      </w:pPr>
      <w:r>
        <w:rPr>
          <w:bCs/>
          <w:b/>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06"/>
    <w:bookmarkStart w:id="107" w:name="sec-zt-automation"/>
    <w:p>
      <w:pPr>
        <w:pStyle w:val="Heading3"/>
      </w:pPr>
      <w:r>
        <w:t xml:space="preserve">Cross-Cutting: Automation and Orchestration</w:t>
      </w:r>
    </w:p>
    <w:p>
      <w:pPr>
        <w:pStyle w:val="FirstParagraph"/>
      </w:pPr>
      <w:r>
        <w:t xml:space="preserve">InfoBlox’s IaC integrations directly enable the CISA Automation and Orchestration capability:</w:t>
      </w:r>
    </w:p>
    <w:p>
      <w:pPr>
        <w:numPr>
          <w:ilvl w:val="0"/>
          <w:numId w:val="1011"/>
        </w:numPr>
        <w:pStyle w:val="Compact"/>
      </w:pPr>
      <w:r>
        <w:t xml:space="preserve">Network resource provisioning (IP, DNS, cert) is automated in IaC pipelines — no manual steps that bypass policy</w:t>
      </w:r>
    </w:p>
    <w:p>
      <w:pPr>
        <w:numPr>
          <w:ilvl w:val="0"/>
          <w:numId w:val="1011"/>
        </w:numPr>
        <w:pStyle w:val="Compact"/>
      </w:pPr>
      <w:r>
        <w:t xml:space="preserve">VCF 9.1 native InfoBlox integration automates DDI for VMware workloads from day one</w:t>
      </w:r>
    </w:p>
    <w:p>
      <w:pPr>
        <w:numPr>
          <w:ilvl w:val="0"/>
          <w:numId w:val="1011"/>
        </w:numPr>
        <w:pStyle w:val="Compact"/>
      </w:pPr>
      <w:r>
        <w:t xml:space="preserve">RPZ updates are automated from threat intelligence feeds — human review required only for false positive exceptions</w:t>
      </w:r>
    </w:p>
    <w:p>
      <w:r>
        <w:pict>
          <v:rect style="width:0;height:1.5pt" o:hralign="center" o:hrstd="t" o:hr="t"/>
        </w:pict>
      </w:r>
    </w:p>
    <w:bookmarkEnd w:id="107"/>
    <w:bookmarkEnd w:id="108"/>
    <w:bookmarkStart w:id="115" w:name="sec-boundary"/>
    <w:p>
      <w:pPr>
        <w:pStyle w:val="Heading2"/>
      </w:pPr>
      <w:r>
        <w:t xml:space="preserve">FedRAMP Boundary Enforcement</w:t>
      </w:r>
    </w:p>
    <w:p>
      <w:pPr>
        <w:pStyle w:val="CaptionedFigure"/>
      </w:pPr>
      <w:r>
        <w:drawing>
          <wp:inline>
            <wp:extent cx="5334000" cy="2963333"/>
            <wp:effectExtent b="0" l="0" r="0" t="0"/>
            <wp:docPr descr="InfoBlox RPZ: The DNS-Layer FedRAMP Boundary Gate" title="" id="110" name="Picture"/>
            <a:graphic>
              <a:graphicData uri="http://schemas.openxmlformats.org/drawingml/2006/picture">
                <pic:pic>
                  <pic:nvPicPr>
                    <pic:cNvPr descr="figs/lz-fig-15-rpz-gate.png" id="111" name="Picture"/>
                    <pic:cNvPicPr>
                      <a:picLocks noChangeArrowheads="1" noChangeAspect="1"/>
                    </pic:cNvPicPr>
                  </pic:nvPicPr>
                  <pic:blipFill>
                    <a:blip r:embed="rId10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13" name="Picture"/>
            <a:graphic>
              <a:graphicData uri="http://schemas.openxmlformats.org/drawingml/2006/picture">
                <pic:pic>
                  <pic:nvPicPr>
                    <pic:cNvPr descr="figs/lz-fig-05-boundary.png" id="114" name="Picture"/>
                    <pic:cNvPicPr>
                      <a:picLocks noChangeArrowheads="1" noChangeAspect="1"/>
                    </pic:cNvPicPr>
                  </pic:nvPicPr>
                  <pic:blipFill>
                    <a:blip r:embed="rId112"/>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Cs/>
          <w:b/>
        </w:rPr>
        <w:t xml:space="preserve">Layer 1 — IP Inventory = Boundary Definition.</w:t>
      </w:r>
      <w:r>
        <w:t xml:space="preserve"> </w:t>
      </w:r>
      <w:r>
        <w:t xml:space="preserve">The FedRAMP authorization boundary is defined by IP address ranges. InfoBlox IPAM</w:t>
      </w:r>
      <w:r>
        <w:t xml:space="preserve"> </w:t>
      </w:r>
      <w:r>
        <w:rPr>
          <w:iCs/>
          <w:i/>
        </w:rPr>
        <w:t xml:space="preserve">is</w:t>
      </w:r>
      <w:r>
        <w:t xml:space="preserve"> </w:t>
      </w:r>
      <w:r>
        <w:t xml:space="preserve">the authoritative record of every IP inside the boundary. The CM-8 IP inventory export</w:t>
      </w:r>
      <w:r>
        <w:t xml:space="preserve"> </w:t>
      </w:r>
      <w:r>
        <w:rPr>
          <w:iCs/>
          <w:i/>
        </w:rPr>
        <w:t xml:space="preserve">is</w:t>
      </w:r>
      <w:r>
        <w:t xml:space="preserve"> </w:t>
      </w:r>
      <w:r>
        <w:t xml:space="preserve">the boundary IP list — no separate reconciliation required.</w:t>
      </w:r>
    </w:p>
    <w:p>
      <w:pPr>
        <w:pStyle w:val="BodyText"/>
      </w:pPr>
      <w:r>
        <w:rPr>
          <w:bCs/>
          <w:b/>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Cs/>
          <w:i/>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78">
        <w:r>
          <w:rPr>
            <w:rStyle w:val="Hyperlink"/>
          </w:rPr>
          <w:t xml:space="preserve">Book 02</w:t>
        </w:r>
      </w:hyperlink>
      <w:r>
        <w:t xml:space="preserve">.</w:t>
      </w:r>
    </w:p>
    <w:p>
      <w:pPr>
        <w:pStyle w:val="BodyText"/>
      </w:pPr>
      <w:r>
        <w:rPr>
          <w:bCs/>
          <w:b/>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numPr>
          <w:ilvl w:val="0"/>
          <w:numId w:val="1012"/>
        </w:numPr>
        <w:pStyle w:val="Compact"/>
      </w:pPr>
      <w:r>
        <w:t xml:space="preserve">RPZ blocks commercial M365 endpoints (prevents FedRAMP data reaching non-GCC Microsoft infrastructure)</w:t>
      </w:r>
    </w:p>
    <w:p>
      <w:pPr>
        <w:numPr>
          <w:ilvl w:val="0"/>
          <w:numId w:val="1012"/>
        </w:numPr>
        <w:pStyle w:val="Compact"/>
      </w:pPr>
      <w:r>
        <w:t xml:space="preserve">RPZ blocks non-FedRAMP SaaS FQDNs (prevents workloads from reaching unauthorized cloud services)</w:t>
      </w:r>
    </w:p>
    <w:p>
      <w:pPr>
        <w:numPr>
          <w:ilvl w:val="0"/>
          <w:numId w:val="1012"/>
        </w:numPr>
        <w:pStyle w:val="Compact"/>
      </w:pPr>
      <w:r>
        <w:t xml:space="preserve">Conditional forwarders for external services generate the SA-9 documentation automatically</w:t>
      </w:r>
    </w:p>
    <w:p>
      <w:pPr>
        <w:numPr>
          <w:ilvl w:val="0"/>
          <w:numId w:val="1012"/>
        </w:numPr>
        <w:pStyle w:val="Compact"/>
      </w:pPr>
      <w:r>
        <w:t xml:space="preserve">DNSSEC validation required — DNS spoofing that could redirect traffic outside the boundary is rejected</w:t>
      </w:r>
    </w:p>
    <w:p>
      <w:pPr>
        <w:numPr>
          <w:ilvl w:val="0"/>
          <w:numId w:val="1012"/>
        </w:numPr>
        <w:pStyle w:val="Compact"/>
      </w:pPr>
      <w:r>
        <w:t xml:space="preserve">Query logging for all workloads — AU-12 evidence: every external communication visible in DNS logs</w:t>
      </w:r>
    </w:p>
    <w:p>
      <w:pPr>
        <w:pStyle w:val="FirstParagraph"/>
      </w:pPr>
      <w:r>
        <w:rPr>
          <w:bCs/>
          <w:b/>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15"/>
    <w:bookmarkStart w:id="118" w:name="sec-fedramp"/>
    <w:p>
      <w:pPr>
        <w:pStyle w:val="Heading2"/>
      </w:pPr>
      <w:r>
        <w:t xml:space="preserve">FedRAMP Moderate and FedRAMP 20x Controls</w:t>
      </w:r>
    </w:p>
    <w:bookmarkStart w:id="116" w:name="sec-fedramp-moderate"/>
    <w:p>
      <w:pPr>
        <w:pStyle w:val="Heading3"/>
      </w:pPr>
      <w:r>
        <w:t xml:space="preserve">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 {.striped .hover}</w:t>
      </w:r>
    </w:p>
    <w:tbl>
      <w:tblPr>
        <w:tblStyle w:val="Table"/>
        <w:tblW w:type="pct" w:w="5000"/>
        <w:tblLook w:firstRow="1" w:lastRow="0" w:firstColumn="0" w:lastColumn="0" w:noHBand="0" w:noVBand="0" w:val="0020"/>
        <w:jc w:val="start"/>
        <w:tblCaption w:val="FedRAMP Moderate Evidence Package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Evidence Source</w:t>
            </w:r>
          </w:p>
        </w:tc>
        <w:tc>
          <w:tcPr/>
          <w:p>
            <w:pPr>
              <w:pStyle w:val="Compact"/>
              <w:jc w:val="left"/>
            </w:pPr>
            <w:r>
              <w:t xml:space="preserve">Format</w:t>
            </w:r>
          </w:p>
        </w:tc>
        <w:tc>
          <w:tcPr/>
          <w:p>
            <w:pPr>
              <w:pStyle w:val="Compact"/>
              <w:jc w:val="left"/>
            </w:pPr>
            <w:r>
              <w:t xml:space="preserve">Collection</w:t>
            </w:r>
          </w:p>
        </w:tc>
      </w:tr>
      <w:tr>
        <w:tc>
          <w:tcPr/>
          <w:p>
            <w:pPr>
              <w:pStyle w:val="Compact"/>
              <w:jc w:val="left"/>
            </w:pPr>
            <w:r>
              <w:t xml:space="preserve">SC-20 / SC-21</w:t>
            </w:r>
          </w:p>
        </w:tc>
        <w:tc>
          <w:tcPr/>
          <w:p>
            <w:pPr>
              <w:pStyle w:val="Compact"/>
              <w:jc w:val="left"/>
            </w:pPr>
            <w:r>
              <w:t xml:space="preserve">InfoBlox DNSSEC key rotation log; RPZ hit log</w:t>
            </w:r>
          </w:p>
        </w:tc>
        <w:tc>
          <w:tcPr/>
          <w:p>
            <w:pPr>
              <w:pStyle w:val="Compact"/>
              <w:jc w:val="left"/>
            </w:pPr>
            <w:r>
              <w:t xml:space="preserve">Grid audit log export</w:t>
            </w:r>
          </w:p>
        </w:tc>
        <w:tc>
          <w:tcPr/>
          <w:p>
            <w:pPr>
              <w:pStyle w:val="Compact"/>
              <w:jc w:val="left"/>
            </w:pPr>
            <w:r>
              <w:t xml:space="preserve">Automated</w:t>
            </w:r>
          </w:p>
        </w:tc>
      </w:tr>
      <w:tr>
        <w:tc>
          <w:tcPr/>
          <w:p>
            <w:pPr>
              <w:pStyle w:val="Compact"/>
              <w:jc w:val="left"/>
            </w:pPr>
            <w:r>
              <w:t xml:space="preserve">CM-8</w:t>
            </w:r>
          </w:p>
        </w:tc>
        <w:tc>
          <w:tcPr/>
          <w:p>
            <w:pPr>
              <w:pStyle w:val="Compact"/>
              <w:jc w:val="left"/>
            </w:pPr>
            <w:r>
              <w:t xml:space="preserve">InfoBlox IP host record database</w:t>
            </w:r>
          </w:p>
        </w:tc>
        <w:tc>
          <w:tcPr/>
          <w:p>
            <w:pPr>
              <w:pStyle w:val="Compact"/>
              <w:jc w:val="left"/>
            </w:pPr>
            <w:r>
              <w:t xml:space="preserve">CSV / ServiceNow CMDB sync</w:t>
            </w:r>
          </w:p>
        </w:tc>
        <w:tc>
          <w:tcPr/>
          <w:p>
            <w:pPr>
              <w:pStyle w:val="Compact"/>
              <w:jc w:val="left"/>
            </w:pPr>
            <w:r>
              <w:t xml:space="preserve">API export on demand</w:t>
            </w:r>
          </w:p>
        </w:tc>
      </w:tr>
      <w:tr>
        <w:tc>
          <w:tcPr/>
          <w:p>
            <w:pPr>
              <w:pStyle w:val="Compact"/>
              <w:jc w:val="left"/>
            </w:pPr>
            <w:r>
              <w:t xml:space="preserve">IA-5(2)</w:t>
            </w:r>
          </w:p>
        </w:tc>
        <w:tc>
          <w:tcPr/>
          <w:p>
            <w:pPr>
              <w:pStyle w:val="Compact"/>
              <w:jc w:val="left"/>
            </w:pPr>
            <w:r>
              <w:t xml:space="preserve">InfoBlox Certificate Tracker</w:t>
            </w:r>
          </w:p>
        </w:tc>
        <w:tc>
          <w:tcPr/>
          <w:p>
            <w:pPr>
              <w:pStyle w:val="Compact"/>
              <w:jc w:val="left"/>
            </w:pPr>
            <w:r>
              <w:t xml:space="preserve">Certificate inventory report</w:t>
            </w:r>
          </w:p>
        </w:tc>
        <w:tc>
          <w:tcPr/>
          <w:p>
            <w:pPr>
              <w:pStyle w:val="Compact"/>
              <w:jc w:val="left"/>
            </w:pPr>
            <w:r>
              <w:t xml:space="preserve">API export on demand</w:t>
            </w:r>
          </w:p>
        </w:tc>
      </w:tr>
      <w:tr>
        <w:tc>
          <w:tcPr/>
          <w:p>
            <w:pPr>
              <w:pStyle w:val="Compact"/>
              <w:jc w:val="left"/>
            </w:pPr>
            <w:r>
              <w:t xml:space="preserve">AU-2 / AU-12</w:t>
            </w:r>
          </w:p>
        </w:tc>
        <w:tc>
          <w:tcPr/>
          <w:p>
            <w:pPr>
              <w:pStyle w:val="Compact"/>
              <w:jc w:val="left"/>
            </w:pPr>
            <w:r>
              <w:t xml:space="preserve">SIEM fed by InfoBlox syslog stream</w:t>
            </w:r>
          </w:p>
        </w:tc>
        <w:tc>
          <w:tcPr/>
          <w:p>
            <w:pPr>
              <w:pStyle w:val="Compact"/>
              <w:jc w:val="left"/>
            </w:pPr>
            <w:r>
              <w:t xml:space="preserve">SIEM query results</w:t>
            </w:r>
          </w:p>
        </w:tc>
        <w:tc>
          <w:tcPr/>
          <w:p>
            <w:pPr>
              <w:pStyle w:val="Compact"/>
              <w:jc w:val="left"/>
            </w:pPr>
            <w:r>
              <w:t xml:space="preserve">Pre-built SIEM dashboards</w:t>
            </w:r>
          </w:p>
        </w:tc>
      </w:tr>
      <w:tr>
        <w:tc>
          <w:tcPr/>
          <w:p>
            <w:pPr>
              <w:pStyle w:val="Compact"/>
              <w:jc w:val="left"/>
            </w:pPr>
            <w:r>
              <w:t xml:space="preserve">IR-4</w:t>
            </w:r>
          </w:p>
        </w:tc>
        <w:tc>
          <w:tcPr/>
          <w:p>
            <w:pPr>
              <w:pStyle w:val="Compact"/>
              <w:jc w:val="left"/>
            </w:pPr>
            <w:r>
              <w:t xml:space="preserve">SIEM IR playbook execution logs; RPZ alert ticket history</w:t>
            </w:r>
          </w:p>
        </w:tc>
        <w:tc>
          <w:tcPr/>
          <w:p>
            <w:pPr>
              <w:pStyle w:val="Compact"/>
              <w:jc w:val="left"/>
            </w:pPr>
            <w:r>
              <w:t xml:space="preserve">ServiceNow tickets</w:t>
            </w:r>
          </w:p>
        </w:tc>
        <w:tc>
          <w:tcPr/>
          <w:p>
            <w:pPr>
              <w:pStyle w:val="Compact"/>
              <w:jc w:val="left"/>
            </w:pPr>
            <w:r>
              <w:t xml:space="preserve">ITSM integration</w:t>
            </w:r>
          </w:p>
        </w:tc>
      </w:tr>
      <w:tr>
        <w:tc>
          <w:tcPr/>
          <w:p>
            <w:pPr>
              <w:pStyle w:val="Compact"/>
              <w:jc w:val="left"/>
            </w:pPr>
            <w:r>
              <w:t xml:space="preserve">SA-9</w:t>
            </w:r>
          </w:p>
        </w:tc>
        <w:tc>
          <w:tcPr/>
          <w:p>
            <w:pPr>
              <w:pStyle w:val="Compact"/>
              <w:jc w:val="left"/>
            </w:pPr>
            <w:r>
              <w:t xml:space="preserve">InfoBlox External DNS Server config; SSP SA-9 table</w:t>
            </w:r>
          </w:p>
        </w:tc>
        <w:tc>
          <w:tcPr/>
          <w:p>
            <w:pPr>
              <w:pStyle w:val="Compact"/>
              <w:jc w:val="left"/>
            </w:pPr>
            <w:r>
              <w:t xml:space="preserve">InfoBlox config export</w:t>
            </w:r>
          </w:p>
        </w:tc>
        <w:tc>
          <w:tcPr/>
          <w:p>
            <w:pPr>
              <w:pStyle w:val="Compact"/>
              <w:jc w:val="left"/>
            </w:pPr>
            <w:r>
              <w:t xml:space="preserve">Grid config snapshot</w:t>
            </w:r>
          </w:p>
        </w:tc>
      </w:tr>
      <w:tr>
        <w:tc>
          <w:tcPr/>
          <w:p>
            <w:pPr>
              <w:pStyle w:val="Compact"/>
              <w:jc w:val="left"/>
            </w:pPr>
            <w:r>
              <w:t xml:space="preserve">SC-22</w:t>
            </w:r>
          </w:p>
        </w:tc>
        <w:tc>
          <w:tcPr/>
          <w:p>
            <w:pPr>
              <w:pStyle w:val="Compact"/>
              <w:jc w:val="left"/>
            </w:pPr>
            <w:r>
              <w:t xml:space="preserve">InfoBlox Network Insight topology report</w:t>
            </w:r>
          </w:p>
        </w:tc>
        <w:tc>
          <w:tcPr/>
          <w:p>
            <w:pPr>
              <w:pStyle w:val="Compact"/>
              <w:jc w:val="left"/>
            </w:pPr>
            <w:r>
              <w:t xml:space="preserve">PDF / JSON topology export</w:t>
            </w:r>
          </w:p>
        </w:tc>
        <w:tc>
          <w:tcPr/>
          <w:p>
            <w:pPr>
              <w:pStyle w:val="Compact"/>
              <w:jc w:val="left"/>
            </w:pPr>
            <w:r>
              <w:t xml:space="preserve">Network Insight scheduler</w:t>
            </w:r>
          </w:p>
        </w:tc>
      </w:tr>
    </w:tbl>
    <w:bookmarkEnd w:id="116"/>
    <w:bookmarkStart w:id="117" w:name="sec-fedramp-20x"/>
    <w:p>
      <w:pPr>
        <w:pStyle w:val="Heading3"/>
      </w:pPr>
      <w:r>
        <w:t xml:space="preserve">FedRAMP 20x: Automated KSI Enforcement</w:t>
      </w:r>
    </w:p>
    <w:p>
      <w:pPr>
        <w:pStyle w:val="FirstParagraph"/>
      </w:pPr>
      <w:r>
        <w:t xml:space="preserve">FedRAMP published its</w:t>
      </w:r>
      <w:r>
        <w:t xml:space="preserve"> </w:t>
      </w:r>
      <w:r>
        <w:rPr>
          <w:bCs/>
          <w:b/>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Cs/>
          <w:b/>
        </w:rPr>
        <w:t xml:space="preserve">Class A</w:t>
      </w:r>
      <w:r>
        <w:t xml:space="preserve"> </w:t>
      </w:r>
      <w:r>
        <w:t xml:space="preserve">(simplest CSPs, opens August 3, 2026),</w:t>
      </w:r>
      <w:r>
        <w:t xml:space="preserve"> </w:t>
      </w:r>
      <w:r>
        <w:rPr>
          <w:bCs/>
          <w:b/>
        </w:rPr>
        <w:t xml:space="preserve">Class B</w:t>
      </w:r>
      <w:r>
        <w:t xml:space="preserve"> </w:t>
      </w:r>
      <w:r>
        <w:t xml:space="preserve">and</w:t>
      </w:r>
      <w:r>
        <w:t xml:space="preserve"> </w:t>
      </w:r>
      <w:r>
        <w:rPr>
          <w:bCs/>
          <w:b/>
        </w:rPr>
        <w:t xml:space="preserve">Class C</w:t>
      </w:r>
      <w:r>
        <w:t xml:space="preserve"> </w:t>
      </w:r>
      <w:r>
        <w:t xml:space="preserve">(open August 31, 2026). The Consolidated Rules become</w:t>
      </w:r>
      <w:r>
        <w:t xml:space="preserve"> </w:t>
      </w:r>
      <w:r>
        <w:rPr>
          <w:bCs/>
          <w:b/>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Cs/>
          <w:b/>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 {.striped .hover}</w:t>
      </w:r>
    </w:p>
    <w:tbl>
      <w:tblPr>
        <w:tblStyle w:val="Table"/>
        <w:tblW w:type="pct" w:w="5000"/>
        <w:tblLook w:firstRow="1" w:lastRow="0" w:firstColumn="0" w:lastColumn="0" w:noHBand="0" w:noVBand="0" w:val="0020"/>
        <w:jc w:val="start"/>
        <w:tblCaption w:val="FedRAMP 20x KSI Automation {.striped .hover}"/>
      </w:tblPr>
      <w:tblGrid>
        <w:gridCol w:w="2640"/>
        <w:gridCol w:w="2640"/>
        <w:gridCol w:w="2640"/>
      </w:tblGrid>
      <w:tr>
        <w:trPr>
          <w:tblHeader w:val="true"/>
        </w:trPr>
        <w:tc>
          <w:tcPr/>
          <w:p>
            <w:pPr>
              <w:pStyle w:val="Compact"/>
              <w:jc w:val="left"/>
            </w:pPr>
            <w:r>
              <w:t xml:space="preserve">FedRAMP 20x KSI</w:t>
            </w:r>
          </w:p>
        </w:tc>
        <w:tc>
          <w:tcPr/>
          <w:p>
            <w:pPr>
              <w:pStyle w:val="Compact"/>
              <w:jc w:val="left"/>
            </w:pPr>
            <w:r>
              <w:t xml:space="preserve">InfoBlox Enforcement</w:t>
            </w:r>
          </w:p>
        </w:tc>
        <w:tc>
          <w:tcPr/>
          <w:p>
            <w:pPr>
              <w:pStyle w:val="Compact"/>
              <w:jc w:val="left"/>
            </w:pPr>
            <w:r>
              <w:t xml:space="preserve">Automated?</w:t>
            </w:r>
          </w:p>
        </w:tc>
      </w:tr>
      <w:tr>
        <w:tc>
          <w:tcPr/>
          <w:p>
            <w:pPr>
              <w:pStyle w:val="Compact"/>
              <w:jc w:val="left"/>
            </w:pPr>
            <w:r>
              <w:t xml:space="preserve">All DNS traffic encrypted or integrity-protected</w:t>
            </w:r>
          </w:p>
        </w:tc>
        <w:tc>
          <w:tcPr/>
          <w:p>
            <w:pPr>
              <w:pStyle w:val="Compact"/>
              <w:jc w:val="left"/>
            </w:pPr>
            <w:r>
              <w:t xml:space="preserve">DNSSEC on all zones; DoH/DoT endpoint on Grid Members</w:t>
            </w:r>
          </w:p>
        </w:tc>
        <w:tc>
          <w:tcPr/>
          <w:p>
            <w:pPr>
              <w:pStyle w:val="Compact"/>
              <w:jc w:val="left"/>
            </w:pPr>
            <w:r>
              <w:rPr>
                <w:bCs/>
                <w:b/>
              </w:rPr>
              <w:t xml:space="preserve">Yes</w:t>
            </w:r>
            <w:r>
              <w:t xml:space="preserve"> </w:t>
            </w:r>
            <w:r>
              <w:t xml:space="preserve">— Grid policy</w:t>
            </w:r>
          </w:p>
        </w:tc>
      </w:tr>
      <w:tr>
        <w:tc>
          <w:tcPr/>
          <w:p>
            <w:pPr>
              <w:pStyle w:val="Compact"/>
              <w:jc w:val="left"/>
            </w:pPr>
            <w:r>
              <w:t xml:space="preserve">Protective DNS for all workloads</w:t>
            </w:r>
          </w:p>
        </w:tc>
        <w:tc>
          <w:tcPr/>
          <w:p>
            <w:pPr>
              <w:pStyle w:val="Compact"/>
              <w:jc w:val="left"/>
            </w:pPr>
            <w:r>
              <w:t xml:space="preserve">Grid Member = resolver for all VPC/VNet DHCP options; RPZ active</w:t>
            </w:r>
          </w:p>
        </w:tc>
        <w:tc>
          <w:tcPr/>
          <w:p>
            <w:pPr>
              <w:pStyle w:val="Compact"/>
              <w:jc w:val="left"/>
            </w:pPr>
            <w:r>
              <w:rPr>
                <w:bCs/>
                <w:b/>
              </w:rPr>
              <w:t xml:space="preserve">Yes</w:t>
            </w:r>
            <w:r>
              <w:t xml:space="preserve"> </w:t>
            </w:r>
            <w:r>
              <w:t xml:space="preserve">— DHCP Options + RPZ</w:t>
            </w:r>
          </w:p>
        </w:tc>
      </w:tr>
      <w:tr>
        <w:tc>
          <w:tcPr/>
          <w:p>
            <w:pPr>
              <w:pStyle w:val="Compact"/>
              <w:jc w:val="left"/>
            </w:pPr>
            <w:r>
              <w:t xml:space="preserve">IP address inventory current and complete</w:t>
            </w:r>
          </w:p>
        </w:tc>
        <w:tc>
          <w:tcPr/>
          <w:p>
            <w:pPr>
              <w:pStyle w:val="Compact"/>
              <w:jc w:val="left"/>
            </w:pPr>
            <w:r>
              <w:t xml:space="preserve">API connectors sync in near-real-time; CM-8 report on demand</w:t>
            </w:r>
          </w:p>
        </w:tc>
        <w:tc>
          <w:tcPr/>
          <w:p>
            <w:pPr>
              <w:pStyle w:val="Compact"/>
              <w:jc w:val="left"/>
            </w:pPr>
            <w:r>
              <w:rPr>
                <w:bCs/>
                <w:b/>
              </w:rPr>
              <w:t xml:space="preserve">Yes</w:t>
            </w:r>
            <w:r>
              <w:t xml:space="preserve"> </w:t>
            </w:r>
            <w:r>
              <w:t xml:space="preserve">— API connectors</w:t>
            </w:r>
          </w:p>
        </w:tc>
      </w:tr>
      <w:tr>
        <w:tc>
          <w:tcPr/>
          <w:p>
            <w:pPr>
              <w:pStyle w:val="Compact"/>
              <w:jc w:val="left"/>
            </w:pPr>
            <w:r>
              <w:t xml:space="preserve">No CIDR overlap between environments</w:t>
            </w:r>
          </w:p>
        </w:tc>
        <w:tc>
          <w:tcPr/>
          <w:p>
            <w:pPr>
              <w:pStyle w:val="Compact"/>
              <w:jc w:val="left"/>
            </w:pPr>
            <w:r>
              <w:t xml:space="preserve">Terraform InfoBlox provider blocks overlapping allocation at request time</w:t>
            </w:r>
          </w:p>
        </w:tc>
        <w:tc>
          <w:tcPr/>
          <w:p>
            <w:pPr>
              <w:pStyle w:val="Compact"/>
              <w:jc w:val="left"/>
            </w:pPr>
            <w:r>
              <w:rPr>
                <w:bCs/>
                <w:b/>
              </w:rPr>
              <w:t xml:space="preserve">Yes</w:t>
            </w:r>
            <w:r>
              <w:t xml:space="preserve"> </w:t>
            </w:r>
            <w:r>
              <w:t xml:space="preserve">— Terraform</w:t>
            </w:r>
          </w:p>
        </w:tc>
      </w:tr>
      <w:tr>
        <w:tc>
          <w:tcPr/>
          <w:p>
            <w:pPr>
              <w:pStyle w:val="Compact"/>
              <w:jc w:val="left"/>
            </w:pPr>
            <w:r>
              <w:t xml:space="preserve">Certificate expiry monitored and auto-renewed</w:t>
            </w:r>
          </w:p>
        </w:tc>
        <w:tc>
          <w:tcPr/>
          <w:p>
            <w:pPr>
              <w:pStyle w:val="Compact"/>
              <w:jc w:val="left"/>
            </w:pPr>
            <w:r>
              <w:t xml:space="preserve">Certificate Tracker 90/30/7-day alerts; SCEP/EST auto-renewal workflow</w:t>
            </w:r>
          </w:p>
        </w:tc>
        <w:tc>
          <w:tcPr/>
          <w:p>
            <w:pPr>
              <w:pStyle w:val="Compact"/>
              <w:jc w:val="left"/>
            </w:pPr>
            <w:r>
              <w:rPr>
                <w:bCs/>
                <w:b/>
              </w:rPr>
              <w:t xml:space="preserve">Yes</w:t>
            </w:r>
            <w:r>
              <w:t xml:space="preserve"> </w:t>
            </w:r>
            <w:r>
              <w:t xml:space="preserve">— Certificate Tracker</w:t>
            </w:r>
          </w:p>
        </w:tc>
      </w:tr>
      <w:tr>
        <w:tc>
          <w:tcPr/>
          <w:p>
            <w:pPr>
              <w:pStyle w:val="Compact"/>
              <w:jc w:val="left"/>
            </w:pPr>
            <w:r>
              <w:t xml:space="preserve">Every workload has machine identity (cert)</w:t>
            </w:r>
          </w:p>
        </w:tc>
        <w:tc>
          <w:tcPr/>
          <w:p>
            <w:pPr>
              <w:pStyle w:val="Compact"/>
              <w:jc w:val="left"/>
            </w:pPr>
            <w:r>
              <w:t xml:space="preserve">SCEP/EST enrollment triggered at IP host record creation</w:t>
            </w:r>
          </w:p>
        </w:tc>
        <w:tc>
          <w:tcPr/>
          <w:p>
            <w:pPr>
              <w:pStyle w:val="Compact"/>
              <w:jc w:val="left"/>
            </w:pPr>
            <w:r>
              <w:rPr>
                <w:bCs/>
                <w:b/>
              </w:rPr>
              <w:t xml:space="preserve">Yes</w:t>
            </w:r>
            <w:r>
              <w:t xml:space="preserve"> </w:t>
            </w:r>
            <w:r>
              <w:t xml:space="preserve">— Auto-enrollment</w:t>
            </w:r>
          </w:p>
        </w:tc>
      </w:tr>
      <w:tr>
        <w:tc>
          <w:tcPr/>
          <w:p>
            <w:pPr>
              <w:pStyle w:val="Compact"/>
              <w:jc w:val="left"/>
            </w:pPr>
            <w:r>
              <w:t xml:space="preserve">DNS change events auditable</w:t>
            </w:r>
          </w:p>
        </w:tc>
        <w:tc>
          <w:tcPr/>
          <w:p>
            <w:pPr>
              <w:pStyle w:val="Compact"/>
              <w:jc w:val="left"/>
            </w:pPr>
            <w:r>
              <w:t xml:space="preserve">All DNS/DHCP/IP changes logged; syslog to SIEM in real time</w:t>
            </w:r>
          </w:p>
        </w:tc>
        <w:tc>
          <w:tcPr/>
          <w:p>
            <w:pPr>
              <w:pStyle w:val="Compact"/>
              <w:jc w:val="left"/>
            </w:pPr>
            <w:r>
              <w:rPr>
                <w:bCs/>
                <w:b/>
              </w:rPr>
              <w:t xml:space="preserve">Yes</w:t>
            </w:r>
            <w:r>
              <w:t xml:space="preserve"> </w:t>
            </w:r>
            <w:r>
              <w:t xml:space="preserve">— Syslog + SIEM</w:t>
            </w:r>
          </w:p>
        </w:tc>
      </w:tr>
    </w:tbl>
    <w:p>
      <w:pPr>
        <w:pStyle w:val="BodyText"/>
      </w:pPr>
      <w:r>
        <w:rPr>
          <w:bCs/>
          <w:b/>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r>
        <w:pict>
          <v:rect style="width:0;height:1.5pt" o:hralign="center" o:hrstd="t" o:hr="t"/>
        </w:pict>
      </w:r>
    </w:p>
    <w:bookmarkEnd w:id="117"/>
    <w:bookmarkEnd w:id="118"/>
    <w:bookmarkStart w:id="119" w:name="sec-interagency"/>
    <w:p>
      <w:pPr>
        <w:pStyle w:val="Heading2"/>
      </w:pPr>
      <w:r>
        <w:t xml:space="preserve">Inter-Agency SaaS Integration: The OPM HRIT Template</w:t>
      </w:r>
    </w:p>
    <w:p>
      <w:pPr>
        <w:pStyle w:val="FirstParagraph"/>
      </w:pPr>
      <w:r>
        <w:t xml:space="preserve">OPM HRIT on OCI is the</w:t>
      </w:r>
      <w:r>
        <w:t xml:space="preserve"> </w:t>
      </w:r>
      <w:r>
        <w:rPr>
          <w:bCs/>
          <w:b/>
        </w:rPr>
        <w:t xml:space="preserve">first of many</w:t>
      </w:r>
      <w:r>
        <w:t xml:space="preserve"> </w:t>
      </w:r>
      <w:r>
        <w:t xml:space="preserve">federal inter-agency SaaS integrations. OPM, SSA, DHS, IRS, and VA are all moving shared services to cloud-hosted SaaS platforms. The pattern repeats every time:</w:t>
      </w:r>
    </w:p>
    <w:p>
      <w:pPr>
        <w:numPr>
          <w:ilvl w:val="0"/>
          <w:numId w:val="1013"/>
        </w:numPr>
        <w:pStyle w:val="Compact"/>
      </w:pPr>
      <w:r>
        <w:t xml:space="preserve">Agency A moves a shared service to cloud SaaS (OPM HRIT → OCI)</w:t>
      </w:r>
    </w:p>
    <w:p>
      <w:pPr>
        <w:numPr>
          <w:ilvl w:val="0"/>
          <w:numId w:val="1013"/>
        </w:numPr>
        <w:pStyle w:val="Compact"/>
      </w:pPr>
      <w:r>
        <w:t xml:space="preserve">Agency B (SSA) becomes an API consumer of that SaaS</w:t>
      </w:r>
    </w:p>
    <w:p>
      <w:pPr>
        <w:numPr>
          <w:ilvl w:val="0"/>
          <w:numId w:val="1013"/>
        </w:numPr>
        <w:pStyle w:val="Compact"/>
      </w:pPr>
      <w:r>
        <w:t xml:space="preserve">Agency B has no visibility into Agency A’s certificate rotation, endpoint changes, or IP range changes</w:t>
      </w:r>
    </w:p>
    <w:p>
      <w:pPr>
        <w:numPr>
          <w:ilvl w:val="0"/>
          <w:numId w:val="1013"/>
        </w:numPr>
        <w:pStyle w:val="Compact"/>
      </w:pPr>
      <w:r>
        <w:t xml:space="preserve">InfoBlox gives Agency B the monitoring layer it needs —</w:t>
      </w:r>
      <w:r>
        <w:t xml:space="preserve"> </w:t>
      </w:r>
      <w:r>
        <w:rPr>
          <w:bCs/>
          <w:b/>
        </w:rPr>
        <w:t xml:space="preserve">from SSA’s side, without requiring access to the partner agency’s cloud</w:t>
      </w:r>
    </w:p>
    <w:p>
      <w:pPr>
        <w:pStyle w:val="FirstParagraph"/>
      </w:pPr>
      <w:r>
        <w:rPr>
          <w:bCs/>
          <w:b/>
        </w:rPr>
        <w:t xml:space="preserve">InfoBlox’s inter-agency integration toolkit:</w:t>
      </w:r>
    </w:p>
    <w:p>
      <w:pPr>
        <w:numPr>
          <w:ilvl w:val="0"/>
          <w:numId w:val="1014"/>
        </w:numPr>
        <w:pStyle w:val="Compact"/>
      </w:pPr>
      <w:r>
        <w:rPr>
          <w:bCs/>
          <w:b/>
        </w:rPr>
        <w:t xml:space="preserve">Conditional DNS forwarders</w:t>
      </w:r>
      <w:r>
        <w:t xml:space="preserve"> </w:t>
      </w:r>
      <w:r>
        <w:t xml:space="preserve">— always know where the service resolves, even when the partner agency changes DNS</w:t>
      </w:r>
    </w:p>
    <w:p>
      <w:pPr>
        <w:numPr>
          <w:ilvl w:val="0"/>
          <w:numId w:val="1014"/>
        </w:numPr>
        <w:pStyle w:val="Compact"/>
      </w:pPr>
      <w:r>
        <w:rPr>
          <w:bCs/>
          <w:b/>
        </w:rPr>
        <w:t xml:space="preserve">Certificate Tracker endpoint polling</w:t>
      </w:r>
      <w:r>
        <w:t xml:space="preserve"> </w:t>
      </w:r>
      <w:r>
        <w:t xml:space="preserve">— always know when the partner’s TLS cert will expire</w:t>
      </w:r>
    </w:p>
    <w:p>
      <w:pPr>
        <w:numPr>
          <w:ilvl w:val="0"/>
          <w:numId w:val="1014"/>
        </w:numPr>
        <w:pStyle w:val="Compact"/>
      </w:pPr>
      <w:r>
        <w:rPr>
          <w:bCs/>
          <w:b/>
        </w:rPr>
        <w:t xml:space="preserve">External host records</w:t>
      </w:r>
      <w:r>
        <w:t xml:space="preserve"> </w:t>
      </w:r>
      <w:r>
        <w:t xml:space="preserve">— always document the partner’s IP ranges for SA-9 without API access to their cloud</w:t>
      </w:r>
    </w:p>
    <w:p>
      <w:pPr>
        <w:numPr>
          <w:ilvl w:val="0"/>
          <w:numId w:val="1014"/>
        </w:numPr>
        <w:pStyle w:val="Compact"/>
      </w:pPr>
      <w:r>
        <w:rPr>
          <w:bCs/>
          <w:b/>
        </w:rPr>
        <w:t xml:space="preserve">RPZ passthrough entries</w:t>
      </w:r>
      <w:r>
        <w:t xml:space="preserve"> </w:t>
      </w:r>
      <w:r>
        <w:t xml:space="preserve">— ensure InfoBlox RPZ does not block the inter-agency API calls</w:t>
      </w:r>
    </w:p>
    <w:p>
      <w:pPr>
        <w:numPr>
          <w:ilvl w:val="0"/>
          <w:numId w:val="1014"/>
        </w:numPr>
        <w:pStyle w:val="Compact"/>
      </w:pPr>
      <w:r>
        <w:rPr>
          <w:bCs/>
          <w:b/>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19"/>
    <w:bookmarkStart w:id="120" w:name="sec-summary"/>
    <w:p>
      <w:pPr>
        <w:pStyle w:val="Heading2"/>
      </w:pPr>
      <w:r>
        <w:t xml:space="preserve">Architecture Summary</w:t>
      </w:r>
    </w:p>
    <w:p>
      <w:pPr>
        <w:pStyle w:val="TableCaption"/>
      </w:pPr>
      <w:r>
        <w:t xml:space="preserve">Full Landing Zone Architecture Summary {.striped .hover}</w:t>
      </w:r>
    </w:p>
    <w:tbl>
      <w:tblPr>
        <w:tblStyle w:val="Table"/>
        <w:tblW w:type="pct" w:w="5000"/>
        <w:tblLook w:firstRow="1" w:lastRow="0" w:firstColumn="0" w:lastColumn="0" w:noHBand="0" w:noVBand="0" w:val="0020"/>
        <w:jc w:val="start"/>
        <w:tblCaption w:val="Full Landing Zone Architecture Summary {.striped .hover}"/>
      </w:tblPr>
      <w:tblGrid>
        <w:gridCol w:w="1320"/>
        <w:gridCol w:w="1320"/>
        <w:gridCol w:w="1320"/>
        <w:gridCol w:w="1320"/>
        <w:gridCol w:w="1320"/>
        <w:gridCol w:w="1320"/>
      </w:tblGrid>
      <w:tr>
        <w:trPr>
          <w:tblHeader w:val="true"/>
        </w:trPr>
        <w:tc>
          <w:tcPr/>
          <w:p>
            <w:pPr>
              <w:pStyle w:val="Compact"/>
              <w:jc w:val="left"/>
            </w:pPr>
            <w:r>
              <w:t xml:space="preserve">Layer</w:t>
            </w:r>
          </w:p>
        </w:tc>
        <w:tc>
          <w:tcPr/>
          <w:p>
            <w:pPr>
              <w:pStyle w:val="Compact"/>
              <w:jc w:val="left"/>
            </w:pPr>
            <w:r>
              <w:t xml:space="preserve">On-Premises VMware</w:t>
            </w:r>
          </w:p>
        </w:tc>
        <w:tc>
          <w:tcPr/>
          <w:p>
            <w:pPr>
              <w:pStyle w:val="Compact"/>
              <w:jc w:val="left"/>
            </w:pPr>
            <w:r>
              <w:t xml:space="preserve">Azure Government</w:t>
            </w:r>
          </w:p>
        </w:tc>
        <w:tc>
          <w:tcPr/>
          <w:p>
            <w:pPr>
              <w:pStyle w:val="Compact"/>
              <w:jc w:val="left"/>
            </w:pPr>
            <w:r>
              <w:t xml:space="preserve">AWS GovCloud</w:t>
            </w:r>
          </w:p>
        </w:tc>
        <w:tc>
          <w:tcPr/>
          <w:p>
            <w:pPr>
              <w:pStyle w:val="Compact"/>
              <w:jc w:val="left"/>
            </w:pPr>
            <w:r>
              <w:t xml:space="preserve">Oracle OCI (OPM)</w:t>
            </w:r>
          </w:p>
        </w:tc>
        <w:tc>
          <w:tcPr/>
          <w:p>
            <w:pPr>
              <w:pStyle w:val="Compact"/>
              <w:jc w:val="left"/>
            </w:pPr>
            <w:r>
              <w:t xml:space="preserve">InfoBlox Role</w:t>
            </w:r>
          </w:p>
        </w:tc>
      </w:tr>
      <w:tr>
        <w:tc>
          <w:tcPr/>
          <w:p>
            <w:pPr>
              <w:pStyle w:val="Compact"/>
              <w:jc w:val="left"/>
            </w:pPr>
            <w:r>
              <w:rPr>
                <w:bCs/>
                <w:b/>
              </w:rPr>
              <w:t xml:space="preserve">IP Assignment</w:t>
            </w:r>
          </w:p>
        </w:tc>
        <w:tc>
          <w:tcPr/>
          <w:p>
            <w:pPr>
              <w:pStyle w:val="Compact"/>
              <w:jc w:val="left"/>
            </w:pPr>
            <w:r>
              <w:t xml:space="preserve">NSX-T DHCP Profiles (VCF 9.1)</w:t>
            </w:r>
          </w:p>
        </w:tc>
        <w:tc>
          <w:tcPr/>
          <w:p>
            <w:pPr>
              <w:pStyle w:val="Compact"/>
              <w:jc w:val="left"/>
            </w:pPr>
            <w:r>
              <w:t xml:space="preserve">Azure fabric / ARM API</w:t>
            </w:r>
          </w:p>
        </w:tc>
        <w:tc>
          <w:tcPr/>
          <w:p>
            <w:pPr>
              <w:pStyle w:val="Compact"/>
              <w:jc w:val="left"/>
            </w:pPr>
            <w:r>
              <w:t xml:space="preserve">VPC DHCP Options / Nitro</w:t>
            </w:r>
          </w:p>
        </w:tc>
        <w:tc>
          <w:tcPr/>
          <w:p>
            <w:pPr>
              <w:pStyle w:val="Compact"/>
              <w:jc w:val="left"/>
            </w:pPr>
            <w:r>
              <w:t xml:space="preserve">OCI VNIC / 169.254.169.254</w:t>
            </w:r>
          </w:p>
        </w:tc>
        <w:tc>
          <w:tcPr/>
          <w:p>
            <w:pPr>
              <w:pStyle w:val="Compact"/>
              <w:jc w:val="left"/>
            </w:pPr>
            <w:r>
              <w:t xml:space="preserve">IPAM SSOT via connectors</w:t>
            </w:r>
          </w:p>
        </w:tc>
      </w:tr>
      <w:tr>
        <w:tc>
          <w:tcPr/>
          <w:p>
            <w:pPr>
              <w:pStyle w:val="Compact"/>
              <w:jc w:val="left"/>
            </w:pPr>
            <w:r>
              <w:rPr>
                <w:bCs/>
                <w:b/>
              </w:rPr>
              <w:t xml:space="preserve">DNS Resolver</w:t>
            </w:r>
          </w:p>
        </w:tc>
        <w:tc>
          <w:tcPr/>
          <w:p>
            <w:pPr>
              <w:pStyle w:val="Compact"/>
              <w:jc w:val="left"/>
            </w:pPr>
            <w:r>
              <w:t xml:space="preserve">Grid Member (replaces AD DNS)</w:t>
            </w:r>
          </w:p>
        </w:tc>
        <w:tc>
          <w:tcPr/>
          <w:p>
            <w:pPr>
              <w:pStyle w:val="Compact"/>
              <w:jc w:val="left"/>
            </w:pPr>
            <w:r>
              <w:t xml:space="preserve">Azure DNS Private Resolver → Grid</w:t>
            </w:r>
          </w:p>
        </w:tc>
        <w:tc>
          <w:tcPr/>
          <w:p>
            <w:pPr>
              <w:pStyle w:val="Compact"/>
              <w:jc w:val="left"/>
            </w:pPr>
            <w:r>
              <w:t xml:space="preserve">VPC DHCP Options → Grid</w:t>
            </w:r>
          </w:p>
        </w:tc>
        <w:tc>
          <w:tcPr/>
          <w:p>
            <w:pPr>
              <w:pStyle w:val="Compact"/>
              <w:jc w:val="left"/>
            </w:pPr>
            <w:r>
              <w:t xml:space="preserve">OCI resolver → Grid forwarder</w:t>
            </w:r>
          </w:p>
        </w:tc>
        <w:tc>
          <w:tcPr/>
          <w:p>
            <w:pPr>
              <w:pStyle w:val="Compact"/>
              <w:jc w:val="left"/>
            </w:pPr>
            <w:r>
              <w:t xml:space="preserve">Unified recursive + DNSSEC</w:t>
            </w:r>
          </w:p>
        </w:tc>
      </w:tr>
      <w:tr>
        <w:tc>
          <w:tcPr/>
          <w:p>
            <w:pPr>
              <w:pStyle w:val="Compact"/>
              <w:jc w:val="left"/>
            </w:pPr>
            <w:r>
              <w:rPr>
                <w:bCs/>
                <w:b/>
              </w:rPr>
              <w:t xml:space="preserve">DNS Authority</w:t>
            </w:r>
          </w:p>
        </w:tc>
        <w:tc>
          <w:tcPr/>
          <w:p>
            <w:pPr>
              <w:pStyle w:val="Compact"/>
              <w:jc w:val="left"/>
            </w:pPr>
            <w:r>
              <w:t xml:space="preserve">Grid Master (agency.gov)</w:t>
            </w:r>
          </w:p>
        </w:tc>
        <w:tc>
          <w:tcPr/>
          <w:p>
            <w:pPr>
              <w:pStyle w:val="Compact"/>
              <w:jc w:val="left"/>
            </w:pPr>
            <w:r>
              <w:t xml:space="preserve">Grid Member + Azure Private DNS</w:t>
            </w:r>
          </w:p>
        </w:tc>
        <w:tc>
          <w:tcPr/>
          <w:p>
            <w:pPr>
              <w:pStyle w:val="Compact"/>
              <w:jc w:val="left"/>
            </w:pPr>
            <w:r>
              <w:t xml:space="preserve">Grid Member + Route 53 private</w:t>
            </w:r>
          </w:p>
        </w:tc>
        <w:tc>
          <w:tcPr/>
          <w:p>
            <w:pPr>
              <w:pStyle w:val="Compact"/>
              <w:jc w:val="left"/>
            </w:pPr>
            <w:r>
              <w:t xml:space="preserve">Grid forwarder + OCI DNS</w:t>
            </w:r>
          </w:p>
        </w:tc>
        <w:tc>
          <w:tcPr/>
          <w:p>
            <w:pPr>
              <w:pStyle w:val="Compact"/>
              <w:jc w:val="left"/>
            </w:pPr>
            <w:r>
              <w:t xml:space="preserve">Grid Master as SSOT</w:t>
            </w:r>
          </w:p>
        </w:tc>
      </w:tr>
      <w:tr>
        <w:tc>
          <w:tcPr/>
          <w:p>
            <w:pPr>
              <w:pStyle w:val="Compact"/>
              <w:jc w:val="left"/>
            </w:pPr>
            <w:r>
              <w:rPr>
                <w:bCs/>
                <w:b/>
              </w:rPr>
              <w:t xml:space="preserve">DHCP</w:t>
            </w:r>
          </w:p>
        </w:tc>
        <w:tc>
          <w:tcPr/>
          <w:p>
            <w:pPr>
              <w:pStyle w:val="Compact"/>
              <w:jc w:val="left"/>
            </w:pPr>
            <w:r>
              <w:t xml:space="preserve">InfoBlox Grid DHCP (HA pair)</w:t>
            </w:r>
          </w:p>
        </w:tc>
        <w:tc>
          <w:tcPr/>
          <w:p>
            <w:pPr>
              <w:pStyle w:val="Compact"/>
              <w:jc w:val="left"/>
            </w:pPr>
            <w:r>
              <w:t xml:space="preserve">Azure fabric (no Grid DHCP)</w:t>
            </w:r>
          </w:p>
        </w:tc>
        <w:tc>
          <w:tcPr/>
          <w:p>
            <w:pPr>
              <w:pStyle w:val="Compact"/>
              <w:jc w:val="left"/>
            </w:pPr>
            <w:r>
              <w:t xml:space="preserve">AWS VPC DHCP</w:t>
            </w:r>
          </w:p>
        </w:tc>
        <w:tc>
          <w:tcPr/>
          <w:p>
            <w:pPr>
              <w:pStyle w:val="Compact"/>
              <w:jc w:val="left"/>
            </w:pPr>
            <w:r>
              <w:t xml:space="preserve">OCI DHCP</w:t>
            </w:r>
          </w:p>
        </w:tc>
        <w:tc>
          <w:tcPr/>
          <w:p>
            <w:pPr>
              <w:pStyle w:val="Compact"/>
              <w:jc w:val="left"/>
            </w:pPr>
            <w:r>
              <w:t xml:space="preserve">On-prem native; cloud via API</w:t>
            </w:r>
          </w:p>
        </w:tc>
      </w:tr>
      <w:tr>
        <w:tc>
          <w:tcPr/>
          <w:p>
            <w:pPr>
              <w:pStyle w:val="Compact"/>
              <w:jc w:val="left"/>
            </w:pPr>
            <w:r>
              <w:rPr>
                <w:bCs/>
                <w:b/>
              </w:rPr>
              <w:t xml:space="preserve">IPAM</w:t>
            </w:r>
          </w:p>
        </w:tc>
        <w:tc>
          <w:tcPr/>
          <w:p>
            <w:pPr>
              <w:pStyle w:val="Compact"/>
              <w:jc w:val="left"/>
            </w:pPr>
            <w:r>
              <w:t xml:space="preserve">On-Premises Network View</w:t>
            </w:r>
          </w:p>
        </w:tc>
        <w:tc>
          <w:tcPr/>
          <w:p>
            <w:pPr>
              <w:pStyle w:val="Compact"/>
              <w:jc w:val="left"/>
            </w:pPr>
            <w:r>
              <w:t xml:space="preserve">Azure-GCC Network View</w:t>
            </w:r>
          </w:p>
        </w:tc>
        <w:tc>
          <w:tcPr/>
          <w:p>
            <w:pPr>
              <w:pStyle w:val="Compact"/>
              <w:jc w:val="left"/>
            </w:pPr>
            <w:r>
              <w:t xml:space="preserve">AWS-GovCloud Network View</w:t>
            </w:r>
          </w:p>
        </w:tc>
        <w:tc>
          <w:tcPr/>
          <w:p>
            <w:pPr>
              <w:pStyle w:val="Compact"/>
              <w:jc w:val="left"/>
            </w:pPr>
            <w:r>
              <w:t xml:space="preserve">OCI-OPM Network View (RO)</w:t>
            </w:r>
          </w:p>
        </w:tc>
        <w:tc>
          <w:tcPr/>
          <w:p>
            <w:pPr>
              <w:pStyle w:val="Compact"/>
              <w:jc w:val="left"/>
            </w:pPr>
            <w:r>
              <w:t xml:space="preserve">Single DB, 4 Network Views</w:t>
            </w:r>
          </w:p>
        </w:tc>
      </w:tr>
      <w:tr>
        <w:tc>
          <w:tcPr/>
          <w:p>
            <w:pPr>
              <w:pStyle w:val="Compact"/>
              <w:jc w:val="left"/>
            </w:pPr>
            <w:r>
              <w:rPr>
                <w:bCs/>
                <w:b/>
              </w:rPr>
              <w:t xml:space="preserve">Certificates</w:t>
            </w:r>
          </w:p>
        </w:tc>
        <w:tc>
          <w:tcPr/>
          <w:p>
            <w:pPr>
              <w:pStyle w:val="Compact"/>
              <w:jc w:val="left"/>
            </w:pPr>
            <w:r>
              <w:t xml:space="preserve">ADCS via SCEP/EST</w:t>
            </w:r>
          </w:p>
        </w:tc>
        <w:tc>
          <w:tcPr/>
          <w:p>
            <w:pPr>
              <w:pStyle w:val="Compact"/>
              <w:jc w:val="left"/>
            </w:pPr>
            <w:r>
              <w:t xml:space="preserve">Azure Key Vault; ARM API polling</w:t>
            </w:r>
          </w:p>
        </w:tc>
        <w:tc>
          <w:tcPr/>
          <w:p>
            <w:pPr>
              <w:pStyle w:val="Compact"/>
              <w:jc w:val="left"/>
            </w:pPr>
            <w:r>
              <w:t xml:space="preserve">ACM Private CA; validation CNAMEs</w:t>
            </w:r>
          </w:p>
        </w:tc>
        <w:tc>
          <w:tcPr/>
          <w:p>
            <w:pPr>
              <w:pStyle w:val="Compact"/>
              <w:jc w:val="left"/>
            </w:pPr>
            <w:r>
              <w:t xml:space="preserve">OCI Certs (OPM); cert polling</w:t>
            </w:r>
          </w:p>
        </w:tc>
        <w:tc>
          <w:tcPr/>
          <w:p>
            <w:pPr>
              <w:pStyle w:val="Compact"/>
              <w:jc w:val="left"/>
            </w:pPr>
            <w:r>
              <w:t xml:space="preserve">Certificate Tracker</w:t>
            </w:r>
          </w:p>
        </w:tc>
      </w:tr>
      <w:tr>
        <w:tc>
          <w:tcPr/>
          <w:p>
            <w:pPr>
              <w:pStyle w:val="Compact"/>
              <w:jc w:val="left"/>
            </w:pPr>
            <w:r>
              <w:rPr>
                <w:bCs/>
                <w:b/>
              </w:rPr>
              <w:t xml:space="preserve">Threat / RPZ</w:t>
            </w:r>
          </w:p>
        </w:tc>
        <w:tc>
          <w:tcPr/>
          <w:p>
            <w:pPr>
              <w:pStyle w:val="Compact"/>
              <w:jc w:val="left"/>
            </w:pPr>
            <w:r>
              <w:t xml:space="preserve">RPZ on Grid Members; TIDE + CISA</w:t>
            </w:r>
          </w:p>
        </w:tc>
        <w:tc>
          <w:tcPr/>
          <w:p>
            <w:pPr>
              <w:pStyle w:val="Compact"/>
              <w:jc w:val="left"/>
            </w:pPr>
            <w:r>
              <w:t xml:space="preserve">RPZ on Azure Grid Member</w:t>
            </w:r>
          </w:p>
        </w:tc>
        <w:tc>
          <w:tcPr/>
          <w:p>
            <w:pPr>
              <w:pStyle w:val="Compact"/>
              <w:jc w:val="left"/>
            </w:pPr>
            <w:r>
              <w:t xml:space="preserve">RPZ on AWS Grid Member</w:t>
            </w:r>
          </w:p>
        </w:tc>
        <w:tc>
          <w:tcPr/>
          <w:p>
            <w:pPr>
              <w:pStyle w:val="Compact"/>
              <w:jc w:val="left"/>
            </w:pPr>
            <w:r>
              <w:t xml:space="preserve">Grid forwarder RPZ</w:t>
            </w:r>
          </w:p>
        </w:tc>
        <w:tc>
          <w:tcPr/>
          <w:p>
            <w:pPr>
              <w:pStyle w:val="Compact"/>
              <w:jc w:val="left"/>
            </w:pPr>
            <w:r>
              <w:t xml:space="preserve">Single policy, all environments</w:t>
            </w:r>
          </w:p>
        </w:tc>
      </w:tr>
      <w:tr>
        <w:tc>
          <w:tcPr/>
          <w:p>
            <w:pPr>
              <w:pStyle w:val="Compact"/>
              <w:jc w:val="left"/>
            </w:pPr>
            <w:r>
              <w:rPr>
                <w:bCs/>
                <w:b/>
              </w:rPr>
              <w:t xml:space="preserve">Audit / SIEM</w:t>
            </w:r>
          </w:p>
        </w:tc>
        <w:tc>
          <w:tcPr/>
          <w:p>
            <w:pPr>
              <w:pStyle w:val="Compact"/>
              <w:jc w:val="left"/>
            </w:pPr>
            <w:r>
              <w:t xml:space="preserve">Syslog from Grid Members</w:t>
            </w:r>
          </w:p>
        </w:tc>
        <w:tc>
          <w:tcPr/>
          <w:p>
            <w:pPr>
              <w:pStyle w:val="Compact"/>
              <w:jc w:val="left"/>
            </w:pPr>
            <w:r>
              <w:t xml:space="preserve">Syslog from Azure Grid Member</w:t>
            </w:r>
          </w:p>
        </w:tc>
        <w:tc>
          <w:tcPr/>
          <w:p>
            <w:pPr>
              <w:pStyle w:val="Compact"/>
              <w:jc w:val="left"/>
            </w:pPr>
            <w:r>
              <w:t xml:space="preserve">Syslog from AWS Grid Member</w:t>
            </w:r>
          </w:p>
        </w:tc>
        <w:tc>
          <w:tcPr/>
          <w:p>
            <w:pPr>
              <w:pStyle w:val="Compact"/>
              <w:jc w:val="left"/>
            </w:pPr>
            <w:r>
              <w:t xml:space="preserve">Syslog from Grid forwarder</w:t>
            </w:r>
          </w:p>
        </w:tc>
        <w:tc>
          <w:tcPr/>
          <w:p>
            <w:pPr>
              <w:pStyle w:val="Compact"/>
              <w:jc w:val="left"/>
            </w:pPr>
            <w:r>
              <w:t xml:space="preserve">One syslog stream</w:t>
            </w:r>
          </w:p>
        </w:tc>
      </w:tr>
      <w:tr>
        <w:tc>
          <w:tcPr/>
          <w:p>
            <w:pPr>
              <w:pStyle w:val="Compact"/>
              <w:jc w:val="left"/>
            </w:pPr>
            <w:r>
              <w:rPr>
                <w:bCs/>
                <w:b/>
              </w:rPr>
              <w:t xml:space="preserve">FedRAMP Controls</w:t>
            </w:r>
          </w:p>
        </w:tc>
        <w:tc>
          <w:tcPr/>
          <w:p>
            <w:pPr>
              <w:pStyle w:val="Compact"/>
              <w:jc w:val="left"/>
            </w:pPr>
            <w:r>
              <w:t xml:space="preserve">SC-20/21, CM-8, AU-12, IR-4</w:t>
            </w:r>
          </w:p>
        </w:tc>
        <w:tc>
          <w:tcPr/>
          <w:p>
            <w:pPr>
              <w:pStyle w:val="Compact"/>
              <w:jc w:val="left"/>
            </w:pPr>
            <w:r>
              <w:t xml:space="preserve">SC-20/21, SA-9, IA-5(2), CM-8</w:t>
            </w:r>
          </w:p>
        </w:tc>
        <w:tc>
          <w:tcPr/>
          <w:p>
            <w:pPr>
              <w:pStyle w:val="Compact"/>
              <w:jc w:val="left"/>
            </w:pPr>
            <w:r>
              <w:t xml:space="preserve">SC-20/21, SA-9, IA-5(2), CM-8</w:t>
            </w:r>
          </w:p>
        </w:tc>
        <w:tc>
          <w:tcPr/>
          <w:p>
            <w:pPr>
              <w:pStyle w:val="Compact"/>
              <w:jc w:val="left"/>
            </w:pPr>
            <w:r>
              <w:t xml:space="preserve">SA-9, IA-5(2)</w:t>
            </w:r>
          </w:p>
        </w:tc>
        <w:tc>
          <w:tcPr/>
          <w:p>
            <w:pPr>
              <w:pStyle w:val="Compact"/>
              <w:jc w:val="left"/>
            </w:pPr>
            <w:r>
              <w:t xml:space="preserve">Single evidence source</w:t>
            </w:r>
          </w:p>
        </w:tc>
      </w:tr>
    </w:tbl>
    <w:p>
      <w:r>
        <w:pict>
          <v:rect style="width:0;height:1.5pt" o:hralign="center" o:hrstd="t" o:hr="t"/>
        </w:pict>
      </w:r>
    </w:p>
    <w:bookmarkEnd w:id="120"/>
    <w:bookmarkStart w:id="131" w:name="sec-roadmap"/>
    <w:p>
      <w:pPr>
        <w:pStyle w:val="Heading2"/>
      </w:pPr>
      <w:r>
        <w:t xml:space="preserve">Recommended Buildout Roadmap</w:t>
      </w:r>
    </w:p>
    <w:p>
      <w:pPr>
        <w:pStyle w:val="FirstParagraph"/>
      </w:pPr>
      <w:r>
        <w:t xml:space="preserve">Each phase produces immediately usable compliance evidence and security value — there is no</w:t>
      </w:r>
      <w:r>
        <w:t xml:space="preserve"> </w:t>
      </w:r>
      <w:r>
        <w:t xml:space="preserve">‘</w:t>
      </w:r>
      <w:r>
        <w:t xml:space="preserve">big bang</w:t>
      </w:r>
      <w:r>
        <w:t xml:space="preserve">’</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22" name="Picture"/>
            <a:graphic>
              <a:graphicData uri="http://schemas.openxmlformats.org/drawingml/2006/picture">
                <pic:pic>
                  <pic:nvPicPr>
                    <pic:cNvPr descr="figs/lz-fig-14-roadmap.png" id="123" name="Picture"/>
                    <pic:cNvPicPr>
                      <a:picLocks noChangeArrowheads="1" noChangeAspect="1"/>
                    </pic:cNvPicPr>
                  </pic:nvPicPr>
                  <pic:blipFill>
                    <a:blip r:embed="rId121"/>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24" w:name="X6998601d02e0784d9756e9b3df61efe56f843a2"/>
    <w:p>
      <w:pPr>
        <w:pStyle w:val="Heading3"/>
      </w:pPr>
      <w:r>
        <w:t xml:space="preserve">Phase 0 — Procurement and Architecture (Month 1)</w:t>
      </w:r>
    </w:p>
    <w:p>
      <w:pPr>
        <w:numPr>
          <w:ilvl w:val="0"/>
          <w:numId w:val="1015"/>
        </w:numPr>
        <w:pStyle w:val="Compact"/>
      </w:pPr>
      <w:r>
        <w:t xml:space="preserve">Procure InfoBlox BloxOne DDI Federal via</w:t>
      </w:r>
      <w:r>
        <w:t xml:space="preserve"> </w:t>
      </w:r>
      <w:r>
        <w:rPr>
          <w:bCs/>
          <w:b/>
        </w:rPr>
        <w:t xml:space="preserve">AWS GovCloud Marketplace</w:t>
      </w:r>
      <w:r>
        <w:t xml:space="preserve"> </w:t>
      </w:r>
      <w:r>
        <w:t xml:space="preserve">against existing EA (no new IDIQ)</w:t>
      </w:r>
    </w:p>
    <w:p>
      <w:pPr>
        <w:numPr>
          <w:ilvl w:val="0"/>
          <w:numId w:val="1015"/>
        </w:numPr>
        <w:pStyle w:val="Compact"/>
      </w:pPr>
      <w:r>
        <w:t xml:space="preserve">Reference FedRAMP Marketplace CSO</w:t>
      </w:r>
      <w:r>
        <w:t xml:space="preserve"> </w:t>
      </w:r>
      <w:r>
        <w:rPr>
          <w:bCs/>
          <w:b/>
        </w:rPr>
        <w:t xml:space="preserve">FR2017257053</w:t>
      </w:r>
      <w:r>
        <w:t xml:space="preserve"> </w:t>
      </w:r>
      <w:r>
        <w:t xml:space="preserve">in procurement documentation</w:t>
      </w:r>
    </w:p>
    <w:p>
      <w:pPr>
        <w:numPr>
          <w:ilvl w:val="0"/>
          <w:numId w:val="1015"/>
        </w:numPr>
        <w:pStyle w:val="Compact"/>
      </w:pPr>
      <w:r>
        <w:t xml:space="preserve">Design Network View CIDR allocation plan: audit all existing IP ranges across on-prem, Azure VNet, AWS VPC, OCI VCN for overlaps</w:t>
      </w:r>
    </w:p>
    <w:p>
      <w:pPr>
        <w:numPr>
          <w:ilvl w:val="0"/>
          <w:numId w:val="1015"/>
        </w:numPr>
        <w:pStyle w:val="Compact"/>
      </w:pPr>
      <w:r>
        <w:t xml:space="preserve">Engage InfoBlox Professional Services for VCF 9.1 DDI integration workshop</w:t>
      </w:r>
    </w:p>
    <w:bookmarkEnd w:id="124"/>
    <w:bookmarkStart w:id="125" w:name="phase-1-on-premises-foundation-months-13"/>
    <w:p>
      <w:pPr>
        <w:pStyle w:val="Heading3"/>
      </w:pPr>
      <w:r>
        <w:t xml:space="preserve">Phase 1 — On-Premises Foundation (Months 1–3)</w:t>
      </w:r>
    </w:p>
    <w:p>
      <w:pPr>
        <w:numPr>
          <w:ilvl w:val="0"/>
          <w:numId w:val="1016"/>
        </w:numPr>
        <w:pStyle w:val="Compact"/>
      </w:pPr>
      <w:r>
        <w:t xml:space="preserve">Deploy Grid Master HA pair; import all AD DNS zones; enable DNSSEC for agency.gov</w:t>
      </w:r>
    </w:p>
    <w:p>
      <w:pPr>
        <w:numPr>
          <w:ilvl w:val="0"/>
          <w:numId w:val="1016"/>
        </w:numPr>
        <w:pStyle w:val="Compact"/>
      </w:pPr>
      <w:r>
        <w:t xml:space="preserve">Submit DS record to .gov TLD registrar (closes SC-20 gap)</w:t>
      </w:r>
    </w:p>
    <w:p>
      <w:pPr>
        <w:numPr>
          <w:ilvl w:val="0"/>
          <w:numId w:val="1016"/>
        </w:numPr>
        <w:pStyle w:val="Compact"/>
      </w:pPr>
      <w:r>
        <w:t xml:space="preserve">Migrate Windows Server DHCP scopes to InfoBlox Grid DHCP; enable DHCP fingerprinting (the device-identity feed that</w:t>
      </w:r>
      <w:r>
        <w:t xml:space="preserve"> </w:t>
      </w:r>
      <w:hyperlink r:id="rId78">
        <w:r>
          <w:rPr>
            <w:rStyle w:val="Hyperlink"/>
          </w:rPr>
          <w:t xml:space="preserve">Book 02</w:t>
        </w:r>
      </w:hyperlink>
      <w:r>
        <w:t xml:space="preserve"> </w:t>
      </w:r>
      <w:r>
        <w:t xml:space="preserve">builds the NAC device inventory on)</w:t>
      </w:r>
    </w:p>
    <w:p>
      <w:pPr>
        <w:numPr>
          <w:ilvl w:val="0"/>
          <w:numId w:val="1016"/>
        </w:numPr>
        <w:pStyle w:val="Compact"/>
      </w:pPr>
      <w:r>
        <w:t xml:space="preserve">Configure syslog forwarding from all Grid Members to SIEM (Splunk/Sentinel); verify AU-12 event receipt</w:t>
      </w:r>
    </w:p>
    <w:p>
      <w:pPr>
        <w:numPr>
          <w:ilvl w:val="0"/>
          <w:numId w:val="1016"/>
        </w:numPr>
        <w:pStyle w:val="Compact"/>
      </w:pPr>
      <w:r>
        <w:t xml:space="preserve">Deploy SCEP connector to ADCS; test automated cert enrollment from new IP host record</w:t>
      </w:r>
    </w:p>
    <w:p>
      <w:pPr>
        <w:numPr>
          <w:ilvl w:val="0"/>
          <w:numId w:val="1016"/>
        </w:numPr>
        <w:pStyle w:val="Compact"/>
      </w:pPr>
      <w:r>
        <w:t xml:space="preserve">Generate first CM-8 IP inventory export; reconcile against existing CMDB</w:t>
      </w:r>
    </w:p>
    <w:bookmarkEnd w:id="125"/>
    <w:bookmarkStart w:id="126" w:name="Xc4c0bc48ec731a428e8eb5363949c17466fc71f"/>
    <w:p>
      <w:pPr>
        <w:pStyle w:val="Heading3"/>
      </w:pPr>
      <w:r>
        <w:t xml:space="preserve">Phase 2 — VMware VCF 9.1 Integration (Months 2–4)</w:t>
      </w:r>
    </w:p>
    <w:p>
      <w:pPr>
        <w:numPr>
          <w:ilvl w:val="0"/>
          <w:numId w:val="1017"/>
        </w:numPr>
        <w:pStyle w:val="Compact"/>
      </w:pPr>
      <w:r>
        <w:t xml:space="preserve">Update VCF to 9.1; configure VCF-A to use InfoBlox WAPI as external IPAM backend</w:t>
      </w:r>
    </w:p>
    <w:p>
      <w:pPr>
        <w:numPr>
          <w:ilvl w:val="0"/>
          <w:numId w:val="1017"/>
        </w:numPr>
        <w:pStyle w:val="Compact"/>
      </w:pPr>
      <w:r>
        <w:t xml:space="preserve">Update NSX-T DHCP Server Profiles to route DNS to InfoBlox Grid Member IP</w:t>
      </w:r>
    </w:p>
    <w:p>
      <w:pPr>
        <w:numPr>
          <w:ilvl w:val="0"/>
          <w:numId w:val="1017"/>
        </w:numPr>
        <w:pStyle w:val="Compact"/>
      </w:pPr>
      <w:r>
        <w:t xml:space="preserve">Verify NSX-T VM IP assignments appear in InfoBlox On-Premises Network View within 60 seconds</w:t>
      </w:r>
    </w:p>
    <w:bookmarkEnd w:id="126"/>
    <w:bookmarkStart w:id="127" w:name="X77a697cf21d0ca41f2584ad67baf5270bd4b388"/>
    <w:p>
      <w:pPr>
        <w:pStyle w:val="Heading3"/>
      </w:pPr>
      <w:r>
        <w:t xml:space="preserve">Phase 3 — Azure Government Integration (Months 3–5)</w:t>
      </w:r>
    </w:p>
    <w:p>
      <w:pPr>
        <w:numPr>
          <w:ilvl w:val="0"/>
          <w:numId w:val="1018"/>
        </w:numPr>
        <w:pStyle w:val="Compact"/>
      </w:pPr>
      <w:r>
        <w:t xml:space="preserve">Deploy InfoBlox Grid Member as Azure VM in Hub VNet; configure Azure DNS Private Resolver to forward to Grid Member</w:t>
      </w:r>
    </w:p>
    <w:p>
      <w:pPr>
        <w:numPr>
          <w:ilvl w:val="0"/>
          <w:numId w:val="1018"/>
        </w:numPr>
        <w:pStyle w:val="Compact"/>
      </w:pPr>
      <w:r>
        <w:t xml:space="preserve">Register all Azure VNet/subnet CIDRs in InfoBlox Azure-GCC Network View; enable Azure connector</w:t>
      </w:r>
    </w:p>
    <w:p>
      <w:pPr>
        <w:numPr>
          <w:ilvl w:val="0"/>
          <w:numId w:val="1018"/>
        </w:numPr>
        <w:pStyle w:val="Compact"/>
      </w:pPr>
      <w:r>
        <w:t xml:space="preserve">Configure Azure Key Vault Certificate Manager polling in InfoBlox Certificate Tracker</w:t>
      </w:r>
    </w:p>
    <w:p>
      <w:pPr>
        <w:numPr>
          <w:ilvl w:val="0"/>
          <w:numId w:val="1018"/>
        </w:numPr>
        <w:pStyle w:val="Compact"/>
      </w:pPr>
      <w:r>
        <w:t xml:space="preserve">Configure M365 GCC endpoint API polling; test RPZ passthrough and commercial M365 RPZ block</w:t>
      </w:r>
    </w:p>
    <w:bookmarkEnd w:id="127"/>
    <w:bookmarkStart w:id="128" w:name="Xa43eec936343295a8326917a9cf352928776252"/>
    <w:p>
      <w:pPr>
        <w:pStyle w:val="Heading3"/>
      </w:pPr>
      <w:r>
        <w:t xml:space="preserve">Phase 4 — AWS GovCloud Integration (Months 5–7)</w:t>
      </w:r>
    </w:p>
    <w:p>
      <w:pPr>
        <w:numPr>
          <w:ilvl w:val="0"/>
          <w:numId w:val="1019"/>
        </w:numPr>
        <w:pStyle w:val="Compact"/>
      </w:pPr>
      <w:r>
        <w:t xml:space="preserve">Deploy InfoBlox Grid Member as EC2 instance in Transit VPC</w:t>
      </w:r>
    </w:p>
    <w:p>
      <w:pPr>
        <w:numPr>
          <w:ilvl w:val="0"/>
          <w:numId w:val="1019"/>
        </w:numPr>
        <w:pStyle w:val="Compact"/>
      </w:pPr>
      <w:r>
        <w:t xml:space="preserve">Update VPC DHCP Options Sets to use Grid Member IP as domain-name-server</w:t>
      </w:r>
    </w:p>
    <w:p>
      <w:pPr>
        <w:numPr>
          <w:ilvl w:val="0"/>
          <w:numId w:val="1019"/>
        </w:numPr>
        <w:pStyle w:val="Compact"/>
      </w:pPr>
      <w:r>
        <w:t xml:space="preserve">Enable InfoBlox AWS connector; register all VPC CIDR allocations in AWS-GovCloud Network View</w:t>
      </w:r>
    </w:p>
    <w:p>
      <w:pPr>
        <w:numPr>
          <w:ilvl w:val="0"/>
          <w:numId w:val="1019"/>
        </w:numPr>
        <w:pStyle w:val="Compact"/>
      </w:pPr>
      <w:r>
        <w:t xml:space="preserve">Configure ACM DNS validation CNAME automation; test certificate issuance for an internal ALB</w:t>
      </w:r>
    </w:p>
    <w:p>
      <w:pPr>
        <w:numPr>
          <w:ilvl w:val="0"/>
          <w:numId w:val="1019"/>
        </w:numPr>
        <w:pStyle w:val="Compact"/>
      </w:pPr>
      <w:r>
        <w:t xml:space="preserve">Integrate InfoBlox RPZ events with AWS Security Hub findings</w:t>
      </w:r>
    </w:p>
    <w:bookmarkEnd w:id="128"/>
    <w:bookmarkStart w:id="129" w:name="Xca1eadb88ebaa0b3ed62b98ccc9ae1a6edf20c4"/>
    <w:p>
      <w:pPr>
        <w:pStyle w:val="Heading3"/>
      </w:pPr>
      <w:r>
        <w:t xml:space="preserve">Phase 5 — OCI OPM HRIT Integration (Months 7–9)</w:t>
      </w:r>
    </w:p>
    <w:p>
      <w:pPr>
        <w:numPr>
          <w:ilvl w:val="0"/>
          <w:numId w:val="1020"/>
        </w:numPr>
        <w:pStyle w:val="Compact"/>
      </w:pPr>
      <w:r>
        <w:t xml:space="preserve">Import all known OPM HRIT service endpoint IPs and FQDNs as external host records</w:t>
      </w:r>
    </w:p>
    <w:p>
      <w:pPr>
        <w:numPr>
          <w:ilvl w:val="0"/>
          <w:numId w:val="1020"/>
        </w:numPr>
        <w:pStyle w:val="Compact"/>
      </w:pPr>
      <w:r>
        <w:t xml:space="preserve">Configure InfoBlox conditional forwarder for OPM HRIT FQDNs through FastConnect path</w:t>
      </w:r>
    </w:p>
    <w:p>
      <w:pPr>
        <w:numPr>
          <w:ilvl w:val="0"/>
          <w:numId w:val="1020"/>
        </w:numPr>
        <w:pStyle w:val="Compact"/>
      </w:pPr>
      <w:r>
        <w:t xml:space="preserve">Connect InfoBlox Certificate Tracker to OPM HRIT HTTPS endpoints; verify 90-day cert expiry alert fires</w:t>
      </w:r>
    </w:p>
    <w:p>
      <w:pPr>
        <w:numPr>
          <w:ilvl w:val="0"/>
          <w:numId w:val="1020"/>
        </w:numPr>
        <w:pStyle w:val="Compact"/>
      </w:pPr>
      <w:r>
        <w:t xml:space="preserve">Document OCI integration in SSP SA-9 external services table with OPM as system owner</w:t>
      </w:r>
    </w:p>
    <w:bookmarkEnd w:id="129"/>
    <w:bookmarkStart w:id="130" w:name="X6450109d4d09342385afb6f44eead155ff42378"/>
    <w:p>
      <w:pPr>
        <w:pStyle w:val="Heading3"/>
      </w:pPr>
      <w:r>
        <w:t xml:space="preserve">Phase 6 — FedRAMP Continuous Monitoring (Months 9–12)</w:t>
      </w:r>
    </w:p>
    <w:p>
      <w:pPr>
        <w:numPr>
          <w:ilvl w:val="0"/>
          <w:numId w:val="1021"/>
        </w:numPr>
        <w:pStyle w:val="Compact"/>
      </w:pPr>
      <w:r>
        <w:t xml:space="preserve">Complete InfoBlox FedRAMP ATO documentation in SSP; reference CSO FR2017257053 for DDI layer control inheritance</w:t>
      </w:r>
    </w:p>
    <w:p>
      <w:pPr>
        <w:numPr>
          <w:ilvl w:val="0"/>
          <w:numId w:val="1021"/>
        </w:numPr>
        <w:pStyle w:val="Compact"/>
      </w:pPr>
      <w:r>
        <w:t xml:space="preserve">Configure all eight FedRAMP control evidence exports as scheduled reports</w:t>
      </w:r>
    </w:p>
    <w:p>
      <w:pPr>
        <w:numPr>
          <w:ilvl w:val="0"/>
          <w:numId w:val="1021"/>
        </w:numPr>
        <w:pStyle w:val="Compact"/>
      </w:pPr>
      <w:r>
        <w:t xml:space="preserve">Implement IaC Terraform pipeline: IP allocation → DNS record → SCEP cert enrollment as single atomic pipeline</w:t>
      </w:r>
    </w:p>
    <w:p>
      <w:pPr>
        <w:numPr>
          <w:ilvl w:val="0"/>
          <w:numId w:val="1021"/>
        </w:numPr>
        <w:pStyle w:val="Compact"/>
      </w:pPr>
      <w:r>
        <w:t xml:space="preserve">Configure FedRAMP 20x KSI automation checks (DNSSEC status, RPZ coverage, cert expiry, CIDR conflict) as CI/CD pipeline tests</w:t>
      </w:r>
    </w:p>
    <w:p>
      <w:r>
        <w:pict>
          <v:rect style="width:0;height:1.5pt" o:hralign="center" o:hrstd="t" o:hr="t"/>
        </w:pict>
      </w:r>
    </w:p>
    <w:bookmarkEnd w:id="130"/>
    <w:bookmarkEnd w:id="131"/>
    <w:bookmarkStart w:id="144" w:name="references"/>
    <w:p>
      <w:pPr>
        <w:pStyle w:val="Heading2"/>
      </w:pPr>
      <w:r>
        <w:t xml:space="preserve">References</w:t>
      </w:r>
    </w:p>
    <w:p>
      <w:pPr>
        <w:pStyle w:val="TableCaption"/>
      </w:pPr>
      <w:r>
        <w:t xml:space="preserve">References {.striped .hover}</w:t>
      </w:r>
    </w:p>
    <w:tbl>
      <w:tblPr>
        <w:tblStyle w:val="Table"/>
        <w:tblW w:type="pct" w:w="5000"/>
        <w:tblLook w:firstRow="1" w:lastRow="0" w:firstColumn="0" w:lastColumn="0" w:noHBand="0" w:noVBand="0" w:val="0020"/>
        <w:jc w:val="start"/>
        <w:tblCaption w:val="References {.striped .hover}"/>
      </w:tblPr>
      <w:tblGrid>
        <w:gridCol w:w="3960"/>
        <w:gridCol w:w="3960"/>
      </w:tblGrid>
      <w:tr>
        <w:trPr>
          <w:tblHeader w:val="true"/>
        </w:trPr>
        <w:tc>
          <w:tcPr/>
          <w:p>
            <w:pPr>
              <w:pStyle w:val="Compact"/>
              <w:jc w:val="left"/>
            </w:pPr>
            <w:r>
              <w:t xml:space="preserve">Source</w:t>
            </w:r>
          </w:p>
        </w:tc>
        <w:tc>
          <w:tcPr/>
          <w:p>
            <w:pPr>
              <w:pStyle w:val="Compact"/>
              <w:jc w:val="left"/>
            </w:pPr>
            <w:r>
              <w:t xml:space="preserve">URL</w:t>
            </w:r>
          </w:p>
        </w:tc>
      </w:tr>
      <w:tr>
        <w:tc>
          <w:tcPr/>
          <w:p>
            <w:pPr>
              <w:pStyle w:val="Compact"/>
              <w:jc w:val="left"/>
            </w:pPr>
            <w:r>
              <w:t xml:space="preserve">InfoBlox FedRAMP Marketplace (CSO FR2017257053)</w:t>
            </w:r>
          </w:p>
        </w:tc>
        <w:tc>
          <w:tcPr/>
          <w:p>
            <w:pPr>
              <w:pStyle w:val="Compact"/>
              <w:jc w:val="left"/>
            </w:pPr>
            <w:hyperlink r:id="rId132">
              <w:r>
                <w:rPr>
                  <w:rStyle w:val="Hyperlink"/>
                </w:rPr>
                <w:t xml:space="preserve">fedramp.gov/marketplace/products/FR2017257053</w:t>
              </w:r>
            </w:hyperlink>
          </w:p>
        </w:tc>
      </w:tr>
      <w:tr>
        <w:tc>
          <w:tcPr/>
          <w:p>
            <w:pPr>
              <w:pStyle w:val="Compact"/>
              <w:jc w:val="left"/>
            </w:pPr>
            <w:r>
              <w:t xml:space="preserve">VMware VCF 9.1 InfoBlox DDI Integration (May 2026)</w:t>
            </w:r>
          </w:p>
        </w:tc>
        <w:tc>
          <w:tcPr/>
          <w:p>
            <w:pPr>
              <w:pStyle w:val="Compact"/>
              <w:jc w:val="left"/>
            </w:pPr>
            <w:hyperlink r:id="rId133">
              <w:r>
                <w:rPr>
                  <w:rStyle w:val="Hyperlink"/>
                </w:rPr>
                <w:t xml:space="preserve">blogs.vmware.com/cloud-foundation</w:t>
              </w:r>
            </w:hyperlink>
          </w:p>
        </w:tc>
      </w:tr>
      <w:tr>
        <w:tc>
          <w:tcPr/>
          <w:p>
            <w:pPr>
              <w:pStyle w:val="Compact"/>
              <w:jc w:val="left"/>
            </w:pPr>
            <w:r>
              <w:t xml:space="preserve">Register InfoBlox NIOS DDI with NSX — Broadcom TechDocs</w:t>
            </w:r>
          </w:p>
        </w:tc>
        <w:tc>
          <w:tcPr/>
          <w:p>
            <w:pPr>
              <w:pStyle w:val="Compact"/>
              <w:jc w:val="left"/>
            </w:pPr>
            <w:hyperlink r:id="rId134">
              <w:r>
                <w:rPr>
                  <w:rStyle w:val="Hyperlink"/>
                </w:rPr>
                <w:t xml:space="preserve">techdocs.broadcom.com/…/integrate-nsx-with-infoblox</w:t>
              </w:r>
            </w:hyperlink>
          </w:p>
        </w:tc>
      </w:tr>
      <w:tr>
        <w:tc>
          <w:tcPr/>
          <w:p>
            <w:pPr>
              <w:pStyle w:val="Compact"/>
              <w:jc w:val="left"/>
            </w:pPr>
            <w:r>
              <w:t xml:space="preserve">Microsoft 365 IP and URL Web Service</w:t>
            </w:r>
          </w:p>
        </w:tc>
        <w:tc>
          <w:tcPr/>
          <w:p>
            <w:pPr>
              <w:pStyle w:val="Compact"/>
              <w:jc w:val="left"/>
            </w:pPr>
            <w:hyperlink r:id="rId135">
              <w:r>
                <w:rPr>
                  <w:rStyle w:val="Hyperlink"/>
                </w:rPr>
                <w:t xml:space="preserve">docs.microsoft.com/en-us/microsoft-365/enterprise/microsoft-365-ip-web-service</w:t>
              </w:r>
            </w:hyperlink>
          </w:p>
        </w:tc>
      </w:tr>
      <w:tr>
        <w:tc>
          <w:tcPr/>
          <w:p>
            <w:pPr>
              <w:pStyle w:val="Compact"/>
              <w:jc w:val="left"/>
            </w:pPr>
            <w:r>
              <w:t xml:space="preserve">AWS VPC IP Address Manager (IPAM)</w:t>
            </w:r>
          </w:p>
        </w:tc>
        <w:tc>
          <w:tcPr/>
          <w:p>
            <w:pPr>
              <w:pStyle w:val="Compact"/>
              <w:jc w:val="left"/>
            </w:pPr>
            <w:hyperlink r:id="rId136">
              <w:r>
                <w:rPr>
                  <w:rStyle w:val="Hyperlink"/>
                </w:rPr>
                <w:t xml:space="preserve">docs.aws.amazon.com/vpc/latest/ipam</w:t>
              </w:r>
            </w:hyperlink>
          </w:p>
        </w:tc>
      </w:tr>
      <w:tr>
        <w:tc>
          <w:tcPr/>
          <w:p>
            <w:pPr>
              <w:pStyle w:val="Compact"/>
              <w:jc w:val="left"/>
            </w:pPr>
            <w:r>
              <w:t xml:space="preserve">Azure Virtual Network Manager IPAM (preview)</w:t>
            </w:r>
          </w:p>
        </w:tc>
        <w:tc>
          <w:tcPr/>
          <w:p>
            <w:pPr>
              <w:pStyle w:val="Compact"/>
              <w:jc w:val="left"/>
            </w:pPr>
            <w:hyperlink r:id="rId137">
              <w:r>
                <w:rPr>
                  <w:rStyle w:val="Hyperlink"/>
                </w:rPr>
                <w:t xml:space="preserve">learn.microsoft.com/en-us/azure/virtual-network-manager/concept-ip-address-management</w:t>
              </w:r>
            </w:hyperlink>
          </w:p>
        </w:tc>
      </w:tr>
      <w:tr>
        <w:tc>
          <w:tcPr/>
          <w:p>
            <w:pPr>
              <w:pStyle w:val="Compact"/>
              <w:jc w:val="left"/>
            </w:pPr>
            <w:r>
              <w:t xml:space="preserve">CISA Zero Trust Maturity Model v2.0 (April 2023)</w:t>
            </w:r>
          </w:p>
        </w:tc>
        <w:tc>
          <w:tcPr/>
          <w:p>
            <w:pPr>
              <w:pStyle w:val="Compact"/>
              <w:jc w:val="left"/>
            </w:pPr>
            <w:hyperlink r:id="rId138">
              <w:r>
                <w:rPr>
                  <w:rStyle w:val="Hyperlink"/>
                </w:rPr>
                <w:t xml:space="preserve">cisa.gov/sites/default/files/2023-04/zero_trust_maturity_model_v2_508.pdf</w:t>
              </w:r>
            </w:hyperlink>
          </w:p>
        </w:tc>
      </w:tr>
      <w:tr>
        <w:tc>
          <w:tcPr/>
          <w:p>
            <w:pPr>
              <w:pStyle w:val="Compact"/>
              <w:jc w:val="left"/>
            </w:pPr>
            <w:r>
              <w:t xml:space="preserve">FedRAMP 20x KSI Enforcement — AWS Public Sector</w:t>
            </w:r>
          </w:p>
        </w:tc>
        <w:tc>
          <w:tcPr/>
          <w:p>
            <w:pPr>
              <w:pStyle w:val="Compact"/>
              <w:jc w:val="left"/>
            </w:pPr>
            <w:hyperlink r:id="rId139">
              <w:r>
                <w:rPr>
                  <w:rStyle w:val="Hyperlink"/>
                </w:rPr>
                <w:t xml:space="preserve">aws.amazon.com/blogs/publicsector/preventive-controls-for-fedramp-20x</w:t>
              </w:r>
            </w:hyperlink>
          </w:p>
        </w:tc>
      </w:tr>
      <w:tr>
        <w:tc>
          <w:tcPr/>
          <w:p>
            <w:pPr>
              <w:pStyle w:val="Compact"/>
              <w:jc w:val="left"/>
            </w:pPr>
            <w:r>
              <w:t xml:space="preserve">InfoBlox NIOS 9.0 Certificate Management</w:t>
            </w:r>
          </w:p>
        </w:tc>
        <w:tc>
          <w:tcPr/>
          <w:p>
            <w:pPr>
              <w:pStyle w:val="Compact"/>
              <w:jc w:val="left"/>
            </w:pPr>
            <w:hyperlink r:id="rId140">
              <w:r>
                <w:rPr>
                  <w:rStyle w:val="Hyperlink"/>
                </w:rPr>
                <w:t xml:space="preserve">docs.infoblox.com/space/nios90/280266962</w:t>
              </w:r>
            </w:hyperlink>
          </w:p>
        </w:tc>
      </w:tr>
      <w:tr>
        <w:tc>
          <w:tcPr/>
          <w:p>
            <w:pPr>
              <w:pStyle w:val="Compact"/>
              <w:jc w:val="left"/>
            </w:pPr>
            <w:r>
              <w:t xml:space="preserve">AWS Landing Zone Accelerator on AWS (LZA)</w:t>
            </w:r>
          </w:p>
        </w:tc>
        <w:tc>
          <w:tcPr/>
          <w:p>
            <w:pPr>
              <w:pStyle w:val="Compact"/>
              <w:jc w:val="left"/>
            </w:pPr>
            <w:hyperlink r:id="rId141">
              <w:r>
                <w:rPr>
                  <w:rStyle w:val="Hyperlink"/>
                </w:rPr>
                <w:t xml:space="preserve">github.com/awslabs/landing-zone-accelerator-on-aws</w:t>
              </w:r>
            </w:hyperlink>
          </w:p>
        </w:tc>
      </w:tr>
      <w:tr>
        <w:tc>
          <w:tcPr/>
          <w:p>
            <w:pPr>
              <w:pStyle w:val="Compact"/>
              <w:jc w:val="left"/>
            </w:pPr>
            <w:r>
              <w:t xml:space="preserve">InfoBlox IPAM and DHCP Solutions</w:t>
            </w:r>
          </w:p>
        </w:tc>
        <w:tc>
          <w:tcPr/>
          <w:p>
            <w:pPr>
              <w:pStyle w:val="Compact"/>
              <w:jc w:val="left"/>
            </w:pPr>
            <w:hyperlink r:id="rId142">
              <w:r>
                <w:rPr>
                  <w:rStyle w:val="Hyperlink"/>
                </w:rPr>
                <w:t xml:space="preserve">infoblox.com/solutions/ipam-dhcp</w:t>
              </w:r>
            </w:hyperlink>
          </w:p>
        </w:tc>
      </w:tr>
      <w:tr>
        <w:tc>
          <w:tcPr/>
          <w:p>
            <w:pPr>
              <w:pStyle w:val="Compact"/>
              <w:jc w:val="left"/>
            </w:pPr>
            <w:r>
              <w:t xml:space="preserve">Configure DHCP for Azure VMware Solution (NSX-T)</w:t>
            </w:r>
          </w:p>
        </w:tc>
        <w:tc>
          <w:tcPr/>
          <w:p>
            <w:pPr>
              <w:pStyle w:val="Compact"/>
              <w:jc w:val="left"/>
            </w:pPr>
            <w:hyperlink r:id="rId143">
              <w:r>
                <w:rPr>
                  <w:rStyle w:val="Hyperlink"/>
                </w:rPr>
                <w:t xml:space="preserve">learn.microsoft.com/en-us/azure/azure-vmware/configure-dhcp-azure-vmware-solution</w:t>
              </w:r>
            </w:hyperlink>
          </w:p>
        </w:tc>
      </w:tr>
    </w:tbl>
    <w:p>
      <w:r>
        <w:pict>
          <v:rect style="width:0;height:1.5pt" o:hralign="center" o:hrstd="t" o:hr="t"/>
        </w:pic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33" Target="media/rId33.png" /><Relationship Type="http://schemas.openxmlformats.org/officeDocument/2006/relationships/image" Id="rId74" Target="media/rId74.png" /><Relationship Type="http://schemas.openxmlformats.org/officeDocument/2006/relationships/image" Id="rId22" Target="media/rId22.png" /><Relationship Type="http://schemas.openxmlformats.org/officeDocument/2006/relationships/image" Id="rId101" Target="media/rId101.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image" Id="rId121" Target="media/rId121.png" /><Relationship Type="http://schemas.openxmlformats.org/officeDocument/2006/relationships/image" Id="rId109" Target="media/rId109.png" /><Relationship Type="http://schemas.openxmlformats.org/officeDocument/2006/relationships/image" Id="rId82" Target="media/rId82.svgz" /><Relationship Type="http://schemas.openxmlformats.org/officeDocument/2006/relationships/image" Id="rId87" Target="media/rId87.svgz" /><Relationship Type="http://schemas.openxmlformats.org/officeDocument/2006/relationships/image" Id="rId95" Target="media/rId9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78" Target="Book_02_FedAAN_Network_Access_Control_802_1X.qmd" TargetMode="External" /><Relationship Type="http://schemas.openxmlformats.org/officeDocument/2006/relationships/hyperlink" Id="rId73" Target="Book_03_FedAAN_Certificates_Tokens_Cryptographic_Identity.qmd" TargetMode="External" /><Relationship Type="http://schemas.openxmlformats.org/officeDocument/2006/relationships/hyperlink" Id="rId98" Target="Book_05_FedAAN_Network_Modernization.qmd" TargetMode="External" /><Relationship Type="http://schemas.openxmlformats.org/officeDocument/2006/relationships/hyperlink" Id="rId139" Target="https://aws.amazon.com/blogs/publicsector/preventive-controls-for-fedramp-20x-using-scps-and-guardrails-to-enforce-ksis/" TargetMode="External" /><Relationship Type="http://schemas.openxmlformats.org/officeDocument/2006/relationships/hyperlink" Id="rId133" Target="https://blogs.vmware.com/cloud-foundation/2026/05/15/vcf-networking-9-1-seamless-ddi-integration-with-infoblox/" TargetMode="External" /><Relationship Type="http://schemas.openxmlformats.org/officeDocument/2006/relationships/hyperlink" Id="rId136" Target="https://docs.aws.amazon.com/vpc/latest/ipam/what-it-is-ipam.html" TargetMode="External" /><Relationship Type="http://schemas.openxmlformats.org/officeDocument/2006/relationships/hyperlink" Id="rId140" Target="https://docs.infoblox.com/space/nios90/280266962" TargetMode="External" /><Relationship Type="http://schemas.openxmlformats.org/officeDocument/2006/relationships/hyperlink" Id="rId135" Target="https://docs.microsoft.com/en-us/microsoft-365/enterprise/microsoft-365-ip-web-service" TargetMode="External" /><Relationship Type="http://schemas.openxmlformats.org/officeDocument/2006/relationships/hyperlink" Id="rId141" Target="https://github.com/awslabs/landing-zone-accelerator-on-aws" TargetMode="External" /><Relationship Type="http://schemas.openxmlformats.org/officeDocument/2006/relationships/hyperlink" Id="rId143" Target="https://learn.microsoft.com/en-us/azure/azure-vmware/configure-dhcp-azure-vmware-solution" TargetMode="External" /><Relationship Type="http://schemas.openxmlformats.org/officeDocument/2006/relationships/hyperlink" Id="rId137" Target="https://learn.microsoft.com/en-us/azure/virtual-network-manager/concept-ip-address-management" TargetMode="External" /><Relationship Type="http://schemas.openxmlformats.org/officeDocument/2006/relationships/hyperlink" Id="rId134" Target="https://techdocs.broadcom.com/us/en/vmware-cis/vcf/vcf-9-0-and-later/9-1/advanced-network-management/ip-address-management-ipam/integrate-nsx-with-infoblox.html" TargetMode="External" /><Relationship Type="http://schemas.openxmlformats.org/officeDocument/2006/relationships/hyperlink" Id="rId138" Target="https://www.cisa.gov/sites/default/files/2023-04/zero_trust_maturity_model_v2_508.pdf" TargetMode="External" /><Relationship Type="http://schemas.openxmlformats.org/officeDocument/2006/relationships/hyperlink" Id="rId132" Target="https://www.fedramp.gov/marketplace/products/FR2017257053/" TargetMode="External" /><Relationship Type="http://schemas.openxmlformats.org/officeDocument/2006/relationships/hyperlink" Id="rId142"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78" Target="Book_02_FedAAN_Network_Access_Control_802_1X.qmd" TargetMode="External" /><Relationship Type="http://schemas.openxmlformats.org/officeDocument/2006/relationships/hyperlink" Id="rId73" Target="Book_03_FedAAN_Certificates_Tokens_Cryptographic_Identity.qmd" TargetMode="External" /><Relationship Type="http://schemas.openxmlformats.org/officeDocument/2006/relationships/hyperlink" Id="rId98" Target="Book_05_FedAAN_Network_Modernization.qmd" TargetMode="External" /><Relationship Type="http://schemas.openxmlformats.org/officeDocument/2006/relationships/hyperlink" Id="rId139" Target="https://aws.amazon.com/blogs/publicsector/preventive-controls-for-fedramp-20x-using-scps-and-guardrails-to-enforce-ksis/" TargetMode="External" /><Relationship Type="http://schemas.openxmlformats.org/officeDocument/2006/relationships/hyperlink" Id="rId133" Target="https://blogs.vmware.com/cloud-foundation/2026/05/15/vcf-networking-9-1-seamless-ddi-integration-with-infoblox/" TargetMode="External" /><Relationship Type="http://schemas.openxmlformats.org/officeDocument/2006/relationships/hyperlink" Id="rId136" Target="https://docs.aws.amazon.com/vpc/latest/ipam/what-it-is-ipam.html" TargetMode="External" /><Relationship Type="http://schemas.openxmlformats.org/officeDocument/2006/relationships/hyperlink" Id="rId140" Target="https://docs.infoblox.com/space/nios90/280266962" TargetMode="External" /><Relationship Type="http://schemas.openxmlformats.org/officeDocument/2006/relationships/hyperlink" Id="rId135" Target="https://docs.microsoft.com/en-us/microsoft-365/enterprise/microsoft-365-ip-web-service" TargetMode="External" /><Relationship Type="http://schemas.openxmlformats.org/officeDocument/2006/relationships/hyperlink" Id="rId141" Target="https://github.com/awslabs/landing-zone-accelerator-on-aws" TargetMode="External" /><Relationship Type="http://schemas.openxmlformats.org/officeDocument/2006/relationships/hyperlink" Id="rId143" Target="https://learn.microsoft.com/en-us/azure/azure-vmware/configure-dhcp-azure-vmware-solution" TargetMode="External" /><Relationship Type="http://schemas.openxmlformats.org/officeDocument/2006/relationships/hyperlink" Id="rId137" Target="https://learn.microsoft.com/en-us/azure/virtual-network-manager/concept-ip-address-management" TargetMode="External" /><Relationship Type="http://schemas.openxmlformats.org/officeDocument/2006/relationships/hyperlink" Id="rId134" Target="https://techdocs.broadcom.com/us/en/vmware-cis/vcf/vcf-9-0-and-later/9-1/advanced-network-management/ip-address-management-ipam/integrate-nsx-with-infoblox.html" TargetMode="External" /><Relationship Type="http://schemas.openxmlformats.org/officeDocument/2006/relationships/hyperlink" Id="rId138" Target="https://www.cisa.gov/sites/default/files/2023-04/zero_trust_maturity_model_v2_508.pdf" TargetMode="External" /><Relationship Type="http://schemas.openxmlformats.org/officeDocument/2006/relationships/hyperlink" Id="rId132" Target="https://www.fedramp.gov/marketplace/products/FR2017257053/" TargetMode="External" /><Relationship Type="http://schemas.openxmlformats.org/officeDocument/2006/relationships/hyperlink" Id="rId142"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2026-07-06T13:13:09Z</dcterms:created>
  <dcterms:modified xsi:type="dcterms:W3CDTF">2026-07-06T13:13:09Z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29,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IPAM · SDN · DNS · PKI · Zero Trust — InfoBlox DDI Alignment to NIST, CISA, and FedRAMP</vt:lpwstr>
  </property>
</Properties>
</file>