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ng" ContentType="image/png"/>
  <Override PartName="/word/media/rId39.png" ContentType="image/png"/>
  <Override PartName="/word/media/rId45.png" ContentType="image/png"/>
  <Override PartName="/word/media/rId55.png" ContentType="image/png"/>
  <Override PartName="/word/media/rId72.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02</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Network</w:t>
      </w:r>
      <w:r>
        <w:t xml:space="preserve"> </w:t>
      </w:r>
      <w:r>
        <w:t xml:space="preserve">Access</w:t>
      </w:r>
      <w:r>
        <w:t xml:space="preserve"> </w:t>
      </w:r>
      <w:r>
        <w:t xml:space="preserve">Control:</w:t>
      </w:r>
      <w:r>
        <w:t xml:space="preserve"> </w:t>
      </w:r>
      <w:r>
        <w:t xml:space="preserve">802.1X</w:t>
      </w:r>
      <w:r>
        <w:t xml:space="preserve"> </w:t>
      </w:r>
      <w:r>
        <w:t xml:space="preserve">and</w:t>
      </w:r>
      <w:r>
        <w:t xml:space="preserve"> </w:t>
      </w:r>
      <w:r>
        <w:t xml:space="preserve">Device</w:t>
      </w:r>
      <w:r>
        <w:t xml:space="preserve"> </w:t>
      </w:r>
      <w:r>
        <w:t xml:space="preserve">Identity</w:t>
      </w:r>
    </w:p>
    <w:p>
      <w:pPr>
        <w:pStyle w:val="Subtitle"/>
      </w:pPr>
      <w:r>
        <w:t xml:space="preserve">802.1X,</w:t>
      </w:r>
      <w:r>
        <w:t xml:space="preserve"> </w:t>
      </w:r>
      <w:r>
        <w:t xml:space="preserve">EAP-TLS,</w:t>
      </w:r>
      <w:r>
        <w:t xml:space="preserve"> </w:t>
      </w:r>
      <w:r>
        <w:t xml:space="preserve">and</w:t>
      </w:r>
      <w:r>
        <w:t xml:space="preserve"> </w:t>
      </w:r>
      <w:r>
        <w:t xml:space="preserve">Device</w:t>
      </w:r>
      <w:r>
        <w:t xml:space="preserve"> </w:t>
      </w:r>
      <w:r>
        <w:t xml:space="preserve">Identity</w:t>
      </w:r>
      <w:r>
        <w:t xml:space="preserve"> </w:t>
      </w:r>
      <w:r>
        <w:t xml:space="preserve">Enforcement</w:t>
      </w:r>
      <w:r>
        <w:t xml:space="preserve"> </w:t>
      </w:r>
      <w:r>
        <w:t xml:space="preserve">at</w:t>
      </w:r>
      <w:r>
        <w:t xml:space="preserve"> </w:t>
      </w:r>
      <w:r>
        <w:t xml:space="preserve">the</w:t>
      </w:r>
      <w:r>
        <w:t xml:space="preserve"> </w:t>
      </w:r>
      <w:r>
        <w:t xml:space="preserve">Port</w:t>
      </w:r>
      <w:r>
        <w:t xml:space="preserve"> </w:t>
      </w:r>
      <w:r>
        <w:t xml:space="preserve">—</w:t>
      </w:r>
      <w:r>
        <w:t xml:space="preserve"> </w:t>
      </w:r>
      <w:r>
        <w:t xml:space="preserve">Part</w:t>
      </w:r>
      <w:r>
        <w:t xml:space="preserve"> </w:t>
      </w:r>
      <w:r>
        <w:t xml:space="preserve">2</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5,</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Cs/>
          <w:i/>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bookmarkStart w:id="21" w:name="what-this-document-addresses"/>
    <w:p>
      <w:pPr>
        <w:pStyle w:val="Heading1"/>
      </w:pPr>
      <w:r>
        <w:t xml:space="preserve">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Cs/>
          <w:i/>
        </w:rPr>
        <w:t xml:space="preserve">observe</w:t>
      </w:r>
      <w:r>
        <w:t xml:space="preserve"> </w:t>
      </w:r>
      <w:r>
        <w:t xml:space="preserve">and</w:t>
      </w:r>
      <w:r>
        <w:t xml:space="preserve"> </w:t>
      </w:r>
      <w:r>
        <w:rPr>
          <w:iCs/>
          <w:i/>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Cs/>
          <w:i/>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Cs/>
          <w:b/>
        </w:rPr>
        <w:t xml:space="preserve">IA-3</w:t>
      </w:r>
      <w:r>
        <w:t xml:space="preserve"> </w:t>
      </w:r>
      <w:r>
        <w:t xml:space="preserve">(Device Identification and Authentication) control family at the only layer where it can be closed — the point of network admission — and lays the</w:t>
      </w:r>
      <w:r>
        <w:t xml:space="preserve"> </w:t>
      </w:r>
      <w:r>
        <w:rPr>
          <w:bCs/>
          <w:b/>
        </w:rPr>
        <w:t xml:space="preserve">SC-7</w:t>
      </w:r>
      <w:r>
        <w:t xml:space="preserve"> </w:t>
      </w:r>
      <w:r>
        <w:t xml:space="preserve">(Boundary Protection) and</w:t>
      </w:r>
      <w:r>
        <w:t xml:space="preserve"> </w:t>
      </w:r>
      <w:r>
        <w:rPr>
          <w:bCs/>
          <w:b/>
        </w:rPr>
        <w:t xml:space="preserve">CM-8</w:t>
      </w:r>
      <w:r>
        <w:t xml:space="preserve"> </w:t>
      </w:r>
      <w:r>
        <w:t xml:space="preserve">(System Component Inventory) foundations that Parts 3 through 19 extend upward through certificates, applications, telemetry, and the authorization package.</w:t>
      </w:r>
    </w:p>
    <w:p>
      <w:pPr>
        <w:pStyle w:val="BodyText"/>
      </w:pPr>
      <w:r>
        <w:rPr>
          <w:bCs/>
          <w:b/>
        </w:rPr>
        <w:t xml:space="preserve">Device Identity vs. User Identity</w:t>
      </w:r>
      <w:r>
        <w:t xml:space="preserve"> </w:t>
      </w:r>
      <w:r>
        <w:t xml:space="preserve">— NAC and 802.1X operate at the</w:t>
      </w:r>
      <w:r>
        <w:t xml:space="preserve"> </w:t>
      </w:r>
      <w:r>
        <w:rPr>
          <w:iCs/>
          <w:i/>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Cs/>
          <w:i/>
        </w:rPr>
        <w:t xml:space="preserve">who is the user</w:t>
      </w:r>
      <w:r>
        <w:t xml:space="preserve"> </w:t>
      </w:r>
      <w:r>
        <w:t xml:space="preserve">and</w:t>
      </w:r>
      <w:r>
        <w:t xml:space="preserve"> </w:t>
      </w:r>
      <w:r>
        <w:rPr>
          <w:iCs/>
          <w:i/>
        </w:rPr>
        <w:t xml:space="preserve">what is the device</w:t>
      </w:r>
      <w:r>
        <w:t xml:space="preserve">, independently.</w:t>
      </w:r>
    </w:p>
    <w:bookmarkEnd w:id="21"/>
    <w:bookmarkStart w:id="28" w:name="the-device-identity-gap"/>
    <w:p>
      <w:pPr>
        <w:pStyle w:val="Heading1"/>
      </w:pPr>
      <w:r>
        <w:t xml:space="preserve">The Device Identity Gap</w:t>
      </w:r>
    </w:p>
    <w:bookmarkStart w:id="22" w:name="why-user-identity-alone-is-insufficient"/>
    <w:p>
      <w:pPr>
        <w:pStyle w:val="Heading2"/>
      </w:pPr>
      <w:r>
        <w:t xml:space="preserve">Why User Identity Alone Is Insufficient</w:t>
      </w:r>
    </w:p>
    <w:p>
      <w:pPr>
        <w:pStyle w:val="FirstParagraph"/>
      </w:pPr>
      <w:r>
        <w:t xml:space="preserve">The AAN series thesis is:</w:t>
      </w:r>
      <w:r>
        <w:t xml:space="preserve"> </w:t>
      </w:r>
      <w:r>
        <w:rPr>
          <w:iCs/>
          <w:i/>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Cs/>
          <w:i/>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Cs/>
          <w:b/>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Cs/>
          <w:b/>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22"/>
    <w:bookmarkStart w:id="23" w:name="the-federal-physical-access-reality"/>
    <w:p>
      <w:pPr>
        <w:pStyle w:val="Heading2"/>
      </w:pPr>
      <w:r>
        <w:t xml:space="preserve">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numPr>
          <w:ilvl w:val="0"/>
          <w:numId w:val="1001"/>
        </w:numPr>
        <w:pStyle w:val="Compact"/>
      </w:pPr>
      <w:r>
        <w:rPr>
          <w:bCs/>
          <w:b/>
        </w:rPr>
        <w:t xml:space="preserve">Conference rooms</w:t>
      </w:r>
      <w:r>
        <w:t xml:space="preserve"> </w:t>
      </w:r>
      <w:r>
        <w:t xml:space="preserve">are routinely accessible to vendors, contractors, and visitors with valid facility badges who do not have SSA IT authorization.</w:t>
      </w:r>
    </w:p>
    <w:p>
      <w:pPr>
        <w:numPr>
          <w:ilvl w:val="0"/>
          <w:numId w:val="1001"/>
        </w:numPr>
        <w:pStyle w:val="Compact"/>
      </w:pPr>
      <w:r>
        <w:rPr>
          <w:bCs/>
          <w:b/>
        </w:rPr>
        <w:t xml:space="preserve">Wiring closets</w:t>
      </w:r>
      <w:r>
        <w:t xml:space="preserve"> </w:t>
      </w:r>
      <w:r>
        <w:t xml:space="preserve">in older federal buildings frequently lack electronic access control distinct from the floor-level badge reader.</w:t>
      </w:r>
    </w:p>
    <w:p>
      <w:pPr>
        <w:numPr>
          <w:ilvl w:val="0"/>
          <w:numId w:val="1001"/>
        </w:numPr>
        <w:pStyle w:val="Compact"/>
      </w:pPr>
      <w:r>
        <w:rPr>
          <w:bCs/>
          <w:b/>
        </w:rPr>
        <w:t xml:space="preserve">Decommissioned office areas</w:t>
      </w:r>
      <w:r>
        <w:t xml:space="preserve"> </w:t>
      </w:r>
      <w:r>
        <w:t xml:space="preserve">retain live switch ports until physical decommissioning is completed — often weeks to months after occupancy ends.</w:t>
      </w:r>
    </w:p>
    <w:p>
      <w:pPr>
        <w:numPr>
          <w:ilvl w:val="0"/>
          <w:numId w:val="1001"/>
        </w:numPr>
        <w:pStyle w:val="Compact"/>
      </w:pPr>
      <w:r>
        <w:rPr>
          <w:bCs/>
          <w:b/>
        </w:rPr>
        <w:t xml:space="preserve">Hoteling workstations</w:t>
      </w:r>
      <w:r>
        <w:t xml:space="preserve"> </w:t>
      </w:r>
      <w:r>
        <w:t xml:space="preserve">in hot-desk environments have live ports by design, and the physical occupant changes daily.</w:t>
      </w:r>
    </w:p>
    <w:p>
      <w:pPr>
        <w:numPr>
          <w:ilvl w:val="0"/>
          <w:numId w:val="1001"/>
        </w:numPr>
        <w:pStyle w:val="Compact"/>
      </w:pPr>
      <w:r>
        <w:rPr>
          <w:bCs/>
          <w:b/>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23"/>
    <w:bookmarkStart w:id="27" w:name="Xf9e6daf1b34bf021916e30a128f36862b57d1d2"/>
    <w:p>
      <w:pPr>
        <w:pStyle w:val="Heading2"/>
      </w:pPr>
      <w:r>
        <w:t xml:space="preserve">Before and After: The Structural Comparison</w:t>
      </w:r>
    </w:p>
    <w:p>
      <w:pPr>
        <w:pStyle w:val="CaptionedFigure"/>
      </w:pPr>
      <w:r>
        <w:drawing>
          <wp:inline>
            <wp:extent cx="5334000" cy="3000375"/>
            <wp:effectExtent b="0" l="0" r="0" t="0"/>
            <wp:docPr descr="Before and after NAC deployment showing unauthenticated port access versus 802.1X authenticated admission flow" title="" id="25" name="Picture"/>
            <a:graphic>
              <a:graphicData uri="http://schemas.openxmlformats.org/drawingml/2006/picture">
                <pic:pic>
                  <pic:nvPicPr>
                    <pic:cNvPr descr="figs/nac-fig-01-before-after.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Before and after NAC deployment showing unauthenticated port access versus 802.1X authenticated admission flow</w:t>
      </w:r>
    </w:p>
    <w:p>
      <w:pPr>
        <w:pStyle w:val="BodyText"/>
      </w:pPr>
      <w:r>
        <w:rPr>
          <w:bCs/>
          <w:b/>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Cs/>
          <w:b/>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7"/>
    <w:bookmarkEnd w:id="28"/>
    <w:bookmarkStart w:id="29" w:name="the-voice-vlan-precedent"/>
    <w:p>
      <w:pPr>
        <w:pStyle w:val="Heading1"/>
      </w:pPr>
      <w:r>
        <w:t xml:space="preserve">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Cs/>
          <w:i/>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Cs/>
          <w:b/>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9"/>
    <w:bookmarkStart w:id="37" w:name="X82c6a9b21860f42551bf826059803119df8d347"/>
    <w:p>
      <w:pPr>
        <w:pStyle w:val="Heading1"/>
      </w:pPr>
      <w:r>
        <w:t xml:space="preserve">NAC Architecture — RADIUS, 802.1X, and EAP-TLS</w:t>
      </w:r>
    </w:p>
    <w:bookmarkStart w:id="30" w:name="the-authentication-stack"/>
    <w:p>
      <w:pPr>
        <w:pStyle w:val="Heading2"/>
      </w:pPr>
      <w:r>
        <w:t xml:space="preserve">The Authentication Stack</w:t>
      </w:r>
    </w:p>
    <w:p>
      <w:pPr>
        <w:pStyle w:val="FirstParagraph"/>
      </w:pPr>
      <w:r>
        <w:t xml:space="preserve">802.1X Network Access Control is a port-based authentication framework defined in IEEE 802.1X-2020. It introduces three roles to every network admission event:</w:t>
      </w:r>
    </w:p>
    <w:p>
      <w:pPr>
        <w:numPr>
          <w:ilvl w:val="0"/>
          <w:numId w:val="1002"/>
        </w:numPr>
        <w:pStyle w:val="Compact"/>
      </w:pPr>
      <w:r>
        <w:rPr>
          <w:bCs/>
          <w:b/>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numPr>
          <w:ilvl w:val="0"/>
          <w:numId w:val="1002"/>
        </w:numPr>
        <w:pStyle w:val="Compact"/>
      </w:pPr>
      <w:r>
        <w:rPr>
          <w:bCs/>
          <w:b/>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numPr>
          <w:ilvl w:val="0"/>
          <w:numId w:val="1002"/>
        </w:numPr>
        <w:pStyle w:val="Compact"/>
      </w:pPr>
      <w:r>
        <w:rPr>
          <w:bCs/>
          <w:b/>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30"/>
    <w:bookmarkStart w:id="31" w:name="Xe6727c90454fe28f5c795c7f2710efc24477f82"/>
    <w:p>
      <w:pPr>
        <w:pStyle w:val="Heading2"/>
      </w:pPr>
      <w:r>
        <w:t xml:space="preserve">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 {.striped .hover}</w:t>
      </w:r>
    </w:p>
    <w:tbl>
      <w:tblPr>
        <w:tblStyle w:val="Table"/>
        <w:tblW w:type="pct" w:w="5000"/>
        <w:tblLook w:firstRow="1" w:lastRow="0" w:firstColumn="0" w:lastColumn="0" w:noHBand="0" w:noVBand="0" w:val="0020"/>
        <w:jc w:val="start"/>
        <w:tblCaption w:val="EAP Method Comparison for Federal NAC {.striped .hover}"/>
      </w:tblPr>
      <w:tblGrid>
        <w:gridCol w:w="979"/>
        <w:gridCol w:w="898"/>
        <w:gridCol w:w="1551"/>
        <w:gridCol w:w="1551"/>
        <w:gridCol w:w="1224"/>
        <w:gridCol w:w="1714"/>
      </w:tblGrid>
      <w:tr>
        <w:trPr>
          <w:tblHeader w:val="true"/>
        </w:trPr>
        <w:tc>
          <w:tcPr/>
          <w:p>
            <w:pPr>
              <w:pStyle w:val="Compact"/>
              <w:jc w:val="left"/>
            </w:pPr>
            <w:r>
              <w:t xml:space="preserve">EAP Method</w:t>
            </w:r>
          </w:p>
        </w:tc>
        <w:tc>
          <w:tcPr/>
          <w:p>
            <w:pPr>
              <w:pStyle w:val="Compact"/>
              <w:jc w:val="left"/>
            </w:pPr>
            <w:r>
              <w:t xml:space="preserve">Credential</w:t>
            </w:r>
          </w:p>
        </w:tc>
        <w:tc>
          <w:tcPr/>
          <w:p>
            <w:pPr>
              <w:pStyle w:val="Compact"/>
              <w:jc w:val="left"/>
            </w:pPr>
            <w:r>
              <w:t xml:space="preserve">Server Certificate</w:t>
            </w:r>
          </w:p>
        </w:tc>
        <w:tc>
          <w:tcPr/>
          <w:p>
            <w:pPr>
              <w:pStyle w:val="Compact"/>
              <w:jc w:val="left"/>
            </w:pPr>
            <w:r>
              <w:t xml:space="preserve">Client Certificate</w:t>
            </w:r>
          </w:p>
        </w:tc>
        <w:tc>
          <w:tcPr/>
          <w:p>
            <w:pPr>
              <w:pStyle w:val="Compact"/>
              <w:jc w:val="left"/>
            </w:pPr>
            <w:r>
              <w:t xml:space="preserve">FIPS Approved</w:t>
            </w:r>
          </w:p>
        </w:tc>
        <w:tc>
          <w:tcPr/>
          <w:p>
            <w:pPr>
              <w:pStyle w:val="Compact"/>
              <w:jc w:val="left"/>
            </w:pPr>
            <w:r>
              <w:t xml:space="preserve">Federal Suitability</w:t>
            </w:r>
          </w:p>
        </w:tc>
      </w:tr>
      <w:tr>
        <w:tc>
          <w:tcPr/>
          <w:p>
            <w:pPr>
              <w:pStyle w:val="Compact"/>
              <w:jc w:val="left"/>
            </w:pPr>
            <w:r>
              <w:t xml:space="preserve">EAP-PEAP/MSCHAPv2</w:t>
            </w:r>
          </w:p>
        </w:tc>
        <w:tc>
          <w:tcPr/>
          <w:p>
            <w:pPr>
              <w:pStyle w:val="Compact"/>
              <w:jc w:val="left"/>
            </w:pPr>
            <w:r>
              <w:t xml:space="preserve">Password</w:t>
            </w:r>
          </w:p>
        </w:tc>
        <w:tc>
          <w:tcPr/>
          <w:p>
            <w:pPr>
              <w:pStyle w:val="Compact"/>
              <w:jc w:val="left"/>
            </w:pPr>
            <w:r>
              <w:t xml:space="preserve">Required</w:t>
            </w:r>
          </w:p>
        </w:tc>
        <w:tc>
          <w:tcPr/>
          <w:p>
            <w:pPr>
              <w:pStyle w:val="Compact"/>
              <w:jc w:val="left"/>
            </w:pPr>
            <w:r>
              <w:t xml:space="preserve">Not required</w:t>
            </w:r>
          </w:p>
        </w:tc>
        <w:tc>
          <w:tcPr/>
          <w:p>
            <w:pPr>
              <w:pStyle w:val="Compact"/>
              <w:jc w:val="left"/>
            </w:pPr>
            <w:r>
              <w:t xml:space="preserve">No (MSCHAPv2)</w:t>
            </w:r>
          </w:p>
        </w:tc>
        <w:tc>
          <w:tcPr/>
          <w:p>
            <w:pPr>
              <w:pStyle w:val="Compact"/>
              <w:jc w:val="left"/>
            </w:pPr>
            <w:r>
              <w:t xml:space="preserve">Not acceptable — NTLM derivative</w:t>
            </w:r>
          </w:p>
        </w:tc>
      </w:tr>
      <w:tr>
        <w:tc>
          <w:tcPr/>
          <w:p>
            <w:pPr>
              <w:pStyle w:val="Compact"/>
              <w:jc w:val="left"/>
            </w:pPr>
            <w:r>
              <w:t xml:space="preserve">EAP-TTLS/PAP</w:t>
            </w:r>
          </w:p>
        </w:tc>
        <w:tc>
          <w:tcPr/>
          <w:p>
            <w:pPr>
              <w:pStyle w:val="Compact"/>
              <w:jc w:val="left"/>
            </w:pPr>
            <w:r>
              <w:t xml:space="preserve">Password</w:t>
            </w:r>
          </w:p>
        </w:tc>
        <w:tc>
          <w:tcPr/>
          <w:p>
            <w:pPr>
              <w:pStyle w:val="Compact"/>
              <w:jc w:val="left"/>
            </w:pPr>
            <w:r>
              <w:t xml:space="preserve">Required</w:t>
            </w:r>
          </w:p>
        </w:tc>
        <w:tc>
          <w:tcPr/>
          <w:p>
            <w:pPr>
              <w:pStyle w:val="Compact"/>
              <w:jc w:val="left"/>
            </w:pPr>
            <w:r>
              <w:t xml:space="preserve">Not required</w:t>
            </w:r>
          </w:p>
        </w:tc>
        <w:tc>
          <w:tcPr/>
          <w:p>
            <w:pPr>
              <w:pStyle w:val="Compact"/>
              <w:jc w:val="left"/>
            </w:pPr>
            <w:r>
              <w:t xml:space="preserve">No</w:t>
            </w:r>
          </w:p>
        </w:tc>
        <w:tc>
          <w:tcPr/>
          <w:p>
            <w:pPr>
              <w:pStyle w:val="Compact"/>
              <w:jc w:val="left"/>
            </w:pPr>
            <w:r>
              <w:t xml:space="preserve">Not acceptable — plaintext credential in tunnel</w:t>
            </w:r>
          </w:p>
        </w:tc>
      </w:tr>
      <w:tr>
        <w:tc>
          <w:tcPr/>
          <w:p>
            <w:pPr>
              <w:pStyle w:val="Compact"/>
              <w:jc w:val="left"/>
            </w:pPr>
            <w:r>
              <w:t xml:space="preserve">EAP-PEAP/EAP-TLS</w:t>
            </w:r>
          </w:p>
        </w:tc>
        <w:tc>
          <w:tcPr/>
          <w:p>
            <w:pPr>
              <w:pStyle w:val="Compact"/>
              <w:jc w:val="left"/>
            </w:pPr>
            <w:r>
              <w:t xml:space="preserve">Certificate</w:t>
            </w:r>
          </w:p>
        </w:tc>
        <w:tc>
          <w:tcPr/>
          <w:p>
            <w:pPr>
              <w:pStyle w:val="Compact"/>
              <w:jc w:val="left"/>
            </w:pPr>
            <w:r>
              <w:t xml:space="preserve">Required</w:t>
            </w:r>
          </w:p>
        </w:tc>
        <w:tc>
          <w:tcPr/>
          <w:p>
            <w:pPr>
              <w:pStyle w:val="Compact"/>
              <w:jc w:val="left"/>
            </w:pPr>
            <w:r>
              <w:t xml:space="preserve">Required</w:t>
            </w:r>
          </w:p>
        </w:tc>
        <w:tc>
          <w:tcPr/>
          <w:p>
            <w:pPr>
              <w:pStyle w:val="Compact"/>
              <w:jc w:val="left"/>
            </w:pPr>
            <w:r>
              <w:t xml:space="preserve">Yes</w:t>
            </w:r>
          </w:p>
        </w:tc>
        <w:tc>
          <w:tcPr/>
          <w:p>
            <w:pPr>
              <w:pStyle w:val="Compact"/>
              <w:jc w:val="left"/>
            </w:pPr>
            <w:r>
              <w:t xml:space="preserve">Acceptable — but EAP-TLS alone is simpler</w:t>
            </w:r>
          </w:p>
        </w:tc>
      </w:tr>
      <w:tr>
        <w:tc>
          <w:tcPr/>
          <w:p>
            <w:pPr>
              <w:pStyle w:val="Compact"/>
              <w:jc w:val="left"/>
            </w:pPr>
            <w:r>
              <w:rPr>
                <w:bCs/>
                <w:b/>
              </w:rPr>
              <w:t xml:space="preserve">EAP-TLS</w:t>
            </w:r>
          </w:p>
        </w:tc>
        <w:tc>
          <w:tcPr/>
          <w:p>
            <w:pPr>
              <w:pStyle w:val="Compact"/>
              <w:jc w:val="left"/>
            </w:pPr>
            <w:r>
              <w:rPr>
                <w:bCs/>
                <w:b/>
              </w:rPr>
              <w:t xml:space="preserve">Certificate</w:t>
            </w:r>
          </w:p>
        </w:tc>
        <w:tc>
          <w:tcPr/>
          <w:p>
            <w:pPr>
              <w:pStyle w:val="Compact"/>
              <w:jc w:val="left"/>
            </w:pPr>
            <w:r>
              <w:rPr>
                <w:bCs/>
                <w:b/>
              </w:rPr>
              <w:t xml:space="preserve">Required</w:t>
            </w:r>
          </w:p>
        </w:tc>
        <w:tc>
          <w:tcPr/>
          <w:p>
            <w:pPr>
              <w:pStyle w:val="Compact"/>
              <w:jc w:val="left"/>
            </w:pPr>
            <w:r>
              <w:rPr>
                <w:bCs/>
                <w:b/>
              </w:rPr>
              <w:t xml:space="preserve">Required</w:t>
            </w:r>
          </w:p>
        </w:tc>
        <w:tc>
          <w:tcPr/>
          <w:p>
            <w:pPr>
              <w:pStyle w:val="Compact"/>
              <w:jc w:val="left"/>
            </w:pPr>
            <w:r>
              <w:rPr>
                <w:bCs/>
                <w:b/>
              </w:rPr>
              <w:t xml:space="preserve">Yes</w:t>
            </w:r>
          </w:p>
        </w:tc>
        <w:tc>
          <w:tcPr/>
          <w:p>
            <w:pPr>
              <w:pStyle w:val="Compact"/>
              <w:jc w:val="left"/>
            </w:pPr>
            <w:r>
              <w:rPr>
                <w:bCs/>
                <w:b/>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31"/>
    <w:bookmarkStart w:id="35" w:name="X3de18886d568cb768549bf58e9356d28128105d"/>
    <w:p>
      <w:pPr>
        <w:pStyle w:val="Heading2"/>
      </w:pPr>
      <w:r>
        <w:t xml:space="preserve">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Cs/>
          <w:b/>
        </w:rPr>
        <w:t xml:space="preserve">Microsoft Network Policy Server (NPS)</w:t>
      </w:r>
      <w:r>
        <w:t xml:space="preserve"> </w:t>
      </w:r>
      <w:r>
        <w:t xml:space="preserve">deployed on Windows Server 2025 in a highly available configuration, integrated with Entra ID via</w:t>
      </w:r>
      <w:r>
        <w:t xml:space="preserve"> </w:t>
      </w:r>
      <w:r>
        <w:rPr>
          <w:bCs/>
          <w:b/>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Cs/>
          <w:b/>
        </w:rPr>
        <w:t xml:space="preserve">Cisco Identity Services Engine (ISE)</w:t>
      </w:r>
      <w:r>
        <w:t xml:space="preserve"> </w:t>
      </w:r>
      <w:r>
        <w:t xml:space="preserve">and</w:t>
      </w:r>
      <w:r>
        <w:t xml:space="preserve"> </w:t>
      </w:r>
      <w:r>
        <w:rPr>
          <w:bCs/>
          <w:b/>
        </w:rPr>
        <w:t xml:space="preserve">Aruba ClearPass</w:t>
      </w:r>
      <w:r>
        <w:t xml:space="preserve"> </w:t>
      </w:r>
      <w:r>
        <w:t xml:space="preserve">are the dominant federal alternatives; both support the same EAP-TLS + Entra integration described in this document.</w:t>
      </w:r>
    </w:p>
    <w:p>
      <w:pPr>
        <w:pStyle w:val="CaptionedFigure"/>
      </w:pPr>
      <w:r>
        <w:drawing>
          <wp:inline>
            <wp:extent cx="5334000" cy="3000375"/>
            <wp:effectExtent b="0" l="0" r="0" t="0"/>
            <wp:docPr descr="RADIUS server architecture showing NPS in high-availability configuration with primary and secondary servers, RADIUS proxy groups for wired and wireless authenticators, and integration with Entra ID Certificate Authority and Intune Compliance API" title="" id="33" name="Picture"/>
            <a:graphic>
              <a:graphicData uri="http://schemas.openxmlformats.org/drawingml/2006/picture">
                <pic:pic>
                  <pic:nvPicPr>
                    <pic:cNvPr descr="figs/nac-fig-02-radius-architecture.png" id="34"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RADIUS server architecture showing NPS in high-availability configuration with primary and secondary servers, RADIUS proxy groups for wired and wireless authenticators, and integration with Entra ID Certificate Authority and Intune Compliance API</w:t>
      </w:r>
    </w:p>
    <w:p>
      <w:pPr>
        <w:pStyle w:val="BodyText"/>
      </w:pPr>
      <w:r>
        <w:rPr>
          <w:bCs/>
          <w:b/>
        </w:rPr>
        <w:t xml:space="preserve">NPS High Availability</w:t>
      </w:r>
      <w:r>
        <w:t xml:space="preserve"> </w:t>
      </w:r>
      <w:r>
        <w:t xml:space="preserve">— NPS does not natively replicate configuration between nodes. The standard approach for federal environments is:</w:t>
      </w:r>
    </w:p>
    <w:p>
      <w:pPr>
        <w:numPr>
          <w:ilvl w:val="0"/>
          <w:numId w:val="1003"/>
        </w:numPr>
        <w:pStyle w:val="Compact"/>
      </w:pPr>
      <w:r>
        <w:t xml:space="preserve">Deploy two NPS servers in the same region.</w:t>
      </w:r>
    </w:p>
    <w:p>
      <w:pPr>
        <w:numPr>
          <w:ilvl w:val="0"/>
          <w:numId w:val="1003"/>
        </w:numPr>
        <w:pStyle w:val="Compact"/>
      </w:pPr>
      <w:r>
        <w:t xml:space="preserve">Configure all RADIUS clients (switches, WAPs) with both servers, primary and secondary, with a 3-second failover timeout.</w:t>
      </w:r>
    </w:p>
    <w:p>
      <w:pPr>
        <w:numPr>
          <w:ilvl w:val="0"/>
          <w:numId w:val="1003"/>
        </w:numPr>
        <w:pStyle w:val="Compact"/>
      </w:pPr>
      <w:r>
        <w:t xml:space="preserve">Use a shared NPS configuration export/import script (or Group Policy) to keep policy synchronized.</w:t>
      </w:r>
    </w:p>
    <w:p>
      <w:pPr>
        <w:numPr>
          <w:ilvl w:val="0"/>
          <w:numId w:val="1003"/>
        </w:numPr>
        <w:pStyle w:val="Compact"/>
      </w:pPr>
      <w:r>
        <w:t xml:space="preserve">Monitor NPS availability with a Sentinel heartbeat alert (absence of RADIUS accounting events for &gt; 5 minutes from a production authenticator triggers a P2 alert).</w:t>
      </w:r>
    </w:p>
    <w:p>
      <w:pPr>
        <w:pStyle w:val="FirstParagraph"/>
      </w:pPr>
      <w:r>
        <w:rPr>
          <w:bCs/>
          <w:b/>
        </w:rPr>
        <w:t xml:space="preserve">RADIUS Shared Secrets</w:t>
      </w:r>
      <w:r>
        <w:t xml:space="preserve"> </w:t>
      </w:r>
      <w:r>
        <w:t xml:space="preserve">— Each authenticator (switch, WAP) requires a shared secret with the RADIUS server. For federal environments:</w:t>
      </w:r>
    </w:p>
    <w:p>
      <w:pPr>
        <w:numPr>
          <w:ilvl w:val="0"/>
          <w:numId w:val="1004"/>
        </w:numPr>
        <w:pStyle w:val="Compact"/>
      </w:pPr>
      <w:r>
        <w:t xml:space="preserve">Generate secrets with 32+ characters of cryptographic randomness.</w:t>
      </w:r>
    </w:p>
    <w:p>
      <w:pPr>
        <w:numPr>
          <w:ilvl w:val="0"/>
          <w:numId w:val="1004"/>
        </w:numPr>
        <w:pStyle w:val="Compact"/>
      </w:pPr>
      <w:r>
        <w:t xml:space="preserve">Store secrets in Azure Key Vault and rotate on a 180-day schedule.</w:t>
      </w:r>
    </w:p>
    <w:p>
      <w:pPr>
        <w:numPr>
          <w:ilvl w:val="0"/>
          <w:numId w:val="1004"/>
        </w:numPr>
        <w:pStyle w:val="Compact"/>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5"/>
    <w:bookmarkStart w:id="36" w:name="x-port-configuration"/>
    <w:p>
      <w:pPr>
        <w:pStyle w:val="Heading2"/>
      </w:pPr>
      <w:r>
        <w:t xml:space="preserve">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6"/>
    <w:bookmarkEnd w:id="37"/>
    <w:bookmarkStart w:id="44" w:name="X2294e353f63bbf43a569a1eeee897fe8ad8488c"/>
    <w:p>
      <w:pPr>
        <w:pStyle w:val="Heading1"/>
      </w:pPr>
      <w:r>
        <w:t xml:space="preserve">Certificate Infrastructure and Device Enrollment</w:t>
      </w:r>
    </w:p>
    <w:bookmarkStart w:id="38" w:name="the-certificate-trust-chain"/>
    <w:p>
      <w:pPr>
        <w:pStyle w:val="Heading2"/>
      </w:pPr>
      <w:r>
        <w:t xml:space="preserve">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8"/>
    <w:bookmarkStart w:id="42" w:name="intune-scep-certificate-enrollment"/>
    <w:p>
      <w:pPr>
        <w:pStyle w:val="Heading2"/>
      </w:pPr>
      <w:r>
        <w:t xml:space="preserve">Intune SCEP Certificate Enrollment</w:t>
      </w:r>
    </w:p>
    <w:p>
      <w:pPr>
        <w:pStyle w:val="FirstParagraph"/>
      </w:pPr>
      <w:r>
        <w:t xml:space="preserve">Certificates are provisioned via Simple Certificate Enrollment Protocol (SCEP), configured as an Intune device configuration profile. The enrollment flow:</w:t>
      </w:r>
    </w:p>
    <w:p>
      <w:pPr>
        <w:numPr>
          <w:ilvl w:val="0"/>
          <w:numId w:val="1005"/>
        </w:numPr>
        <w:pStyle w:val="Compact"/>
      </w:pPr>
      <w:r>
        <w:t xml:space="preserve">Device completes Intune enrollment (Autopilot or manual MDM enrollment).</w:t>
      </w:r>
    </w:p>
    <w:p>
      <w:pPr>
        <w:numPr>
          <w:ilvl w:val="0"/>
          <w:numId w:val="1005"/>
        </w:numPr>
        <w:pStyle w:val="Compact"/>
      </w:pPr>
      <w:r>
        <w:t xml:space="preserve">Intune pushes the SCEP certificate profile to the device.</w:t>
      </w:r>
    </w:p>
    <w:p>
      <w:pPr>
        <w:numPr>
          <w:ilvl w:val="0"/>
          <w:numId w:val="1005"/>
        </w:numPr>
        <w:pStyle w:val="Compact"/>
      </w:pPr>
      <w:r>
        <w:t xml:space="preserve">The device generates a key pair locally (private key never leaves the device — stored in TPM where available).</w:t>
      </w:r>
    </w:p>
    <w:p>
      <w:pPr>
        <w:numPr>
          <w:ilvl w:val="0"/>
          <w:numId w:val="1005"/>
        </w:numPr>
        <w:pStyle w:val="Compact"/>
      </w:pPr>
      <w:r>
        <w:t xml:space="preserve">The device sends a SCEP certificate request to the Intune SCEP connector (NDES server or cloud SCEP).</w:t>
      </w:r>
    </w:p>
    <w:p>
      <w:pPr>
        <w:numPr>
          <w:ilvl w:val="0"/>
          <w:numId w:val="1005"/>
        </w:numPr>
        <w:pStyle w:val="Compact"/>
      </w:pPr>
      <w:r>
        <w:t xml:space="preserve">The SCEP connector forwards the request to the issuing CA after validating the Intune enrollment token.</w:t>
      </w:r>
    </w:p>
    <w:p>
      <w:pPr>
        <w:numPr>
          <w:ilvl w:val="0"/>
          <w:numId w:val="1005"/>
        </w:numPr>
        <w:pStyle w:val="Compact"/>
      </w:pPr>
      <w:r>
        <w:t xml:space="preserve">The CA issues the certificate and returns it to the device via SCEP.</w:t>
      </w:r>
    </w:p>
    <w:p>
      <w:pPr>
        <w:numPr>
          <w:ilvl w:val="0"/>
          <w:numId w:val="1005"/>
        </w:numPr>
        <w:pStyle w:val="Compact"/>
      </w:pPr>
      <w:r>
        <w:t xml:space="preserve">The device installs the certificate in the Computer certificate store (not the user store — this is critical for machine authentication to work before any user logs in).</w:t>
      </w:r>
    </w:p>
    <w:p>
      <w:pPr>
        <w:pStyle w:val="CaptionedFigure"/>
      </w:pPr>
      <w:r>
        <w:drawing>
          <wp:inline>
            <wp:extent cx="5334000" cy="3000375"/>
            <wp:effectExtent b="0" l="0" r="0" t="0"/>
            <wp:docPr descr="Certificate enrollment flow from device Intune enrollment through SCEP to machine certificate installation in the computer store" title="" id="40" name="Picture"/>
            <a:graphic>
              <a:graphicData uri="http://schemas.openxmlformats.org/drawingml/2006/picture">
                <pic:pic>
                  <pic:nvPicPr>
                    <pic:cNvPr descr="figs/nac-fig-03-cert-enrollme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Certificate enrollment flow from device Intune enrollment through SCEP to machine certificate installation in the computer store</w:t>
      </w:r>
    </w:p>
    <w:p>
      <w:pPr>
        <w:pStyle w:val="BodyText"/>
      </w:pPr>
      <w:r>
        <w:rPr>
          <w:bCs/>
          <w:b/>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42"/>
    <w:bookmarkStart w:id="43" w:name="certificate-revocation"/>
    <w:p>
      <w:pPr>
        <w:pStyle w:val="Heading2"/>
      </w:pPr>
      <w:r>
        <w:t xml:space="preserve">Certificate Revocation</w:t>
      </w:r>
    </w:p>
    <w:p>
      <w:pPr>
        <w:pStyle w:val="FirstParagraph"/>
      </w:pPr>
      <w:r>
        <w:t xml:space="preserve">Two revocation mechanisms operate in parallel:</w:t>
      </w:r>
    </w:p>
    <w:p>
      <w:pPr>
        <w:numPr>
          <w:ilvl w:val="0"/>
          <w:numId w:val="1006"/>
        </w:numPr>
        <w:pStyle w:val="Compact"/>
      </w:pPr>
      <w:r>
        <w:rPr>
          <w:bCs/>
          <w:b/>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numPr>
          <w:ilvl w:val="0"/>
          <w:numId w:val="1006"/>
        </w:numPr>
        <w:pStyle w:val="Compact"/>
      </w:pPr>
      <w:r>
        <w:rPr>
          <w:bCs/>
          <w:b/>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3"/>
    <w:bookmarkEnd w:id="44"/>
    <w:bookmarkStart w:id="53" w:name="nac-policy-tier-structure"/>
    <w:p>
      <w:pPr>
        <w:pStyle w:val="Heading1"/>
      </w:pPr>
      <w:r>
        <w:t xml:space="preserve">NAC Policy Tier Structure</w:t>
      </w:r>
    </w:p>
    <w:bookmarkStart w:id="48" w:name="overview"/>
    <w:p>
      <w:pPr>
        <w:pStyle w:val="Heading2"/>
      </w:pPr>
      <w:r>
        <w:t xml:space="preserve">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p>
      <w:pPr>
        <w:pStyle w:val="CaptionedFigure"/>
      </w:pPr>
      <w:r>
        <w:drawing>
          <wp:inline>
            <wp:extent cx="5334000" cy="3000375"/>
            <wp:effectExtent b="0" l="0" r="0" t="0"/>
            <wp:docPr descr="NAC policy tier diagram showing three VLANs and the policy path from 802.1X authentication through RADIUS compliance check to VLAN assignment" title="" id="46" name="Picture"/>
            <a:graphic>
              <a:graphicData uri="http://schemas.openxmlformats.org/drawingml/2006/picture">
                <pic:pic>
                  <pic:nvPicPr>
                    <pic:cNvPr descr="figs/nac-fig-04-policy-tiers.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NAC policy tier diagram showing three VLANs and the policy path from 802.1X authentication through RADIUS compliance check to VLAN assignment</w:t>
      </w:r>
    </w:p>
    <w:p>
      <w:pPr>
        <w:pStyle w:val="TableCaption"/>
      </w:pPr>
      <w:r>
        <w:t xml:space="preserve">NAC Policy Tiers {.striped .hover}</w:t>
      </w:r>
    </w:p>
    <w:tbl>
      <w:tblPr>
        <w:tblStyle w:val="Table"/>
        <w:tblW w:type="pct" w:w="5000"/>
        <w:tblLook w:firstRow="1" w:lastRow="0" w:firstColumn="0" w:lastColumn="0" w:noHBand="0" w:noVBand="0" w:val="0020"/>
        <w:jc w:val="start"/>
        <w:tblCaption w:val="NAC Policy Tiers {.striped .hover}"/>
      </w:tblPr>
      <w:tblGrid>
        <w:gridCol w:w="1218"/>
        <w:gridCol w:w="1218"/>
        <w:gridCol w:w="2233"/>
        <w:gridCol w:w="3249"/>
      </w:tblGrid>
      <w:tr>
        <w:trPr>
          <w:tblHeader w:val="true"/>
        </w:trPr>
        <w:tc>
          <w:tcPr/>
          <w:p>
            <w:pPr>
              <w:pStyle w:val="Compact"/>
              <w:jc w:val="left"/>
            </w:pPr>
            <w:r>
              <w:t xml:space="preserve">Tier</w:t>
            </w:r>
          </w:p>
        </w:tc>
        <w:tc>
          <w:tcPr/>
          <w:p>
            <w:pPr>
              <w:pStyle w:val="Compact"/>
              <w:jc w:val="left"/>
            </w:pPr>
            <w:r>
              <w:t xml:space="preserve">VLAN</w:t>
            </w:r>
          </w:p>
        </w:tc>
        <w:tc>
          <w:tcPr/>
          <w:p>
            <w:pPr>
              <w:pStyle w:val="Compact"/>
              <w:jc w:val="left"/>
            </w:pPr>
            <w:r>
              <w:t xml:space="preserve">Condition</w:t>
            </w:r>
          </w:p>
        </w:tc>
        <w:tc>
          <w:tcPr/>
          <w:p>
            <w:pPr>
              <w:pStyle w:val="Compact"/>
              <w:jc w:val="left"/>
            </w:pPr>
            <w:r>
              <w:t xml:space="preserve">Network Access</w:t>
            </w:r>
          </w:p>
        </w:tc>
      </w:tr>
      <w:tr>
        <w:tc>
          <w:tcPr/>
          <w:p>
            <w:pPr>
              <w:pStyle w:val="Compact"/>
              <w:jc w:val="left"/>
            </w:pPr>
            <w:r>
              <w:rPr>
                <w:bCs/>
                <w:b/>
              </w:rPr>
              <w:t xml:space="preserve">Production</w:t>
            </w:r>
          </w:p>
        </w:tc>
        <w:tc>
          <w:tcPr/>
          <w:p>
            <w:pPr>
              <w:pStyle w:val="Compact"/>
              <w:jc w:val="left"/>
            </w:pPr>
            <w:r>
              <w:t xml:space="preserve">100–190 (dept)</w:t>
            </w:r>
          </w:p>
        </w:tc>
        <w:tc>
          <w:tcPr/>
          <w:p>
            <w:pPr>
              <w:pStyle w:val="Compact"/>
              <w:jc w:val="left"/>
            </w:pPr>
            <w:r>
              <w:t xml:space="preserve">Valid cert + Intune compliant</w:t>
            </w:r>
          </w:p>
        </w:tc>
        <w:tc>
          <w:tcPr/>
          <w:p>
            <w:pPr>
              <w:pStyle w:val="Compact"/>
              <w:jc w:val="left"/>
            </w:pPr>
            <w:r>
              <w:t xml:space="preserve">Full SSA resource access per ACL</w:t>
            </w:r>
          </w:p>
        </w:tc>
      </w:tr>
      <w:tr>
        <w:tc>
          <w:tcPr/>
          <w:p>
            <w:pPr>
              <w:pStyle w:val="Compact"/>
              <w:jc w:val="left"/>
            </w:pPr>
            <w:r>
              <w:rPr>
                <w:bCs/>
                <w:b/>
              </w:rPr>
              <w:t xml:space="preserve">Remediation</w:t>
            </w:r>
          </w:p>
        </w:tc>
        <w:tc>
          <w:tcPr/>
          <w:p>
            <w:pPr>
              <w:pStyle w:val="Compact"/>
              <w:jc w:val="left"/>
            </w:pPr>
            <w:r>
              <w:t xml:space="preserve">200</w:t>
            </w:r>
          </w:p>
        </w:tc>
        <w:tc>
          <w:tcPr/>
          <w:p>
            <w:pPr>
              <w:pStyle w:val="Compact"/>
              <w:jc w:val="left"/>
            </w:pPr>
            <w:r>
              <w:t xml:space="preserve">Valid cert + Intune non-compliant</w:t>
            </w:r>
          </w:p>
        </w:tc>
        <w:tc>
          <w:tcPr/>
          <w:p>
            <w:pPr>
              <w:pStyle w:val="Compact"/>
              <w:jc w:val="left"/>
            </w:pPr>
            <w:r>
              <w:t xml:space="preserve">Intune, Windows Update, AV endpoints only</w:t>
            </w:r>
          </w:p>
        </w:tc>
      </w:tr>
      <w:tr>
        <w:tc>
          <w:tcPr/>
          <w:p>
            <w:pPr>
              <w:pStyle w:val="Compact"/>
              <w:jc w:val="left"/>
            </w:pPr>
            <w:r>
              <w:rPr>
                <w:bCs/>
                <w:b/>
              </w:rPr>
              <w:t xml:space="preserve">Quarantine</w:t>
            </w:r>
          </w:p>
        </w:tc>
        <w:tc>
          <w:tcPr/>
          <w:p>
            <w:pPr>
              <w:pStyle w:val="Compact"/>
              <w:jc w:val="left"/>
            </w:pPr>
            <w:r>
              <w:t xml:space="preserve">999</w:t>
            </w:r>
          </w:p>
        </w:tc>
        <w:tc>
          <w:tcPr/>
          <w:p>
            <w:pPr>
              <w:pStyle w:val="Compact"/>
              <w:jc w:val="left"/>
            </w:pPr>
            <w:r>
              <w:t xml:space="preserve">No valid cert or cert revoked</w:t>
            </w:r>
          </w:p>
        </w:tc>
        <w:tc>
          <w:tcPr/>
          <w:p>
            <w:pPr>
              <w:pStyle w:val="Compact"/>
              <w:jc w:val="left"/>
            </w:pPr>
            <w:r>
              <w:t xml:space="preserve">Internet-only; captive portal</w:t>
            </w:r>
          </w:p>
        </w:tc>
      </w:tr>
      <w:tr>
        <w:tc>
          <w:tcPr/>
          <w:p>
            <w:pPr>
              <w:pStyle w:val="Compact"/>
              <w:jc w:val="left"/>
            </w:pPr>
            <w:r>
              <w:rPr>
                <w:bCs/>
                <w:b/>
              </w:rPr>
              <w:t xml:space="preserve">Guest</w:t>
            </w:r>
          </w:p>
        </w:tc>
        <w:tc>
          <w:tcPr/>
          <w:p>
            <w:pPr>
              <w:pStyle w:val="Compact"/>
              <w:jc w:val="left"/>
            </w:pPr>
            <w:r>
              <w:t xml:space="preserve">500</w:t>
            </w:r>
          </w:p>
        </w:tc>
        <w:tc>
          <w:tcPr/>
          <w:p>
            <w:pPr>
              <w:pStyle w:val="Compact"/>
              <w:jc w:val="left"/>
            </w:pPr>
            <w:r>
              <w:t xml:space="preserve">MAB — unmanaged device</w:t>
            </w:r>
          </w:p>
        </w:tc>
        <w:tc>
          <w:tcPr/>
          <w:p>
            <w:pPr>
              <w:pStyle w:val="Compact"/>
              <w:jc w:val="left"/>
            </w:pPr>
            <w:r>
              <w:t xml:space="preserve">Internet-only; no SSA routing</w:t>
            </w:r>
          </w:p>
        </w:tc>
      </w:tr>
      <w:tr>
        <w:tc>
          <w:tcPr/>
          <w:p>
            <w:pPr>
              <w:pStyle w:val="Compact"/>
              <w:jc w:val="left"/>
            </w:pPr>
            <w:r>
              <w:rPr>
                <w:bCs/>
                <w:b/>
              </w:rPr>
              <w:t xml:space="preserve">IoT</w:t>
            </w:r>
          </w:p>
        </w:tc>
        <w:tc>
          <w:tcPr/>
          <w:p>
            <w:pPr>
              <w:pStyle w:val="Compact"/>
              <w:jc w:val="left"/>
            </w:pPr>
            <w:r>
              <w:t xml:space="preserve">300</w:t>
            </w:r>
          </w:p>
        </w:tc>
        <w:tc>
          <w:tcPr/>
          <w:p>
            <w:pPr>
              <w:pStyle w:val="Compact"/>
              <w:jc w:val="left"/>
            </w:pPr>
            <w:r>
              <w:t xml:space="preserve">MAB — approved MAC prefix</w:t>
            </w:r>
          </w:p>
        </w:tc>
        <w:tc>
          <w:tcPr/>
          <w:p>
            <w:pPr>
              <w:pStyle w:val="Compact"/>
              <w:jc w:val="left"/>
            </w:pPr>
            <w:r>
              <w:t xml:space="preserve">IoT management VLAN only</w:t>
            </w:r>
          </w:p>
        </w:tc>
      </w:tr>
    </w:tbl>
    <w:bookmarkEnd w:id="48"/>
    <w:bookmarkStart w:id="49" w:name="production-vlan"/>
    <w:p>
      <w:pPr>
        <w:pStyle w:val="Heading2"/>
      </w:pPr>
      <w:r>
        <w:t xml:space="preserve">Production VLAN</w:t>
      </w:r>
    </w:p>
    <w:p>
      <w:pPr>
        <w:pStyle w:val="FirstParagraph"/>
      </w:pPr>
      <w:r>
        <w:t xml:space="preserve">A device reaches the production VLAN by satisfying two independent checks:</w:t>
      </w:r>
    </w:p>
    <w:p>
      <w:pPr>
        <w:numPr>
          <w:ilvl w:val="0"/>
          <w:numId w:val="1007"/>
        </w:numPr>
        <w:pStyle w:val="Compact"/>
      </w:pPr>
      <w:r>
        <w:rPr>
          <w:bCs/>
          <w:b/>
        </w:rPr>
        <w:t xml:space="preserve">Certificate validity</w:t>
      </w:r>
      <w:r>
        <w:t xml:space="preserve"> </w:t>
      </w:r>
      <w:r>
        <w:t xml:space="preserve">— the machine certificate is valid, not expired, issued by the SSA Device Identity CA, and not revoked (CRL/OCSP check passes).</w:t>
      </w:r>
    </w:p>
    <w:p>
      <w:pPr>
        <w:numPr>
          <w:ilvl w:val="0"/>
          <w:numId w:val="1007"/>
        </w:numPr>
        <w:pStyle w:val="Compact"/>
      </w:pPr>
      <w:r>
        <w:rPr>
          <w:bCs/>
          <w:b/>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numPr>
          <w:ilvl w:val="0"/>
          <w:numId w:val="1008"/>
        </w:numPr>
        <w:pStyle w:val="Compact"/>
      </w:pPr>
      <w:r>
        <w:t xml:space="preserve">OS patch level: current within 30 days</w:t>
      </w:r>
    </w:p>
    <w:p>
      <w:pPr>
        <w:numPr>
          <w:ilvl w:val="0"/>
          <w:numId w:val="1008"/>
        </w:numPr>
        <w:pStyle w:val="Compact"/>
      </w:pPr>
      <w:r>
        <w:t xml:space="preserve">BitLocker: enabled and recovery key escrowed to Entra ID</w:t>
      </w:r>
    </w:p>
    <w:p>
      <w:pPr>
        <w:numPr>
          <w:ilvl w:val="0"/>
          <w:numId w:val="1008"/>
        </w:numPr>
        <w:pStyle w:val="Compact"/>
      </w:pPr>
      <w:r>
        <w:t xml:space="preserve">Microsoft Defender Antivirus: enabled, definitions current within 7 days</w:t>
      </w:r>
    </w:p>
    <w:p>
      <w:pPr>
        <w:numPr>
          <w:ilvl w:val="0"/>
          <w:numId w:val="1008"/>
        </w:numPr>
        <w:pStyle w:val="Compact"/>
      </w:pPr>
      <w:r>
        <w:t xml:space="preserve">Secure Boot: enabled</w:t>
      </w:r>
    </w:p>
    <w:p>
      <w:pPr>
        <w:numPr>
          <w:ilvl w:val="0"/>
          <w:numId w:val="1008"/>
        </w:numPr>
        <w:pStyle w:val="Compact"/>
      </w:pPr>
      <w:r>
        <w:t xml:space="preserve">TPM: present and enabled</w:t>
      </w:r>
    </w:p>
    <w:p>
      <w:pPr>
        <w:numPr>
          <w:ilvl w:val="0"/>
          <w:numId w:val="1008"/>
        </w:numPr>
        <w:pStyle w:val="Compact"/>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49"/>
    <w:bookmarkStart w:id="50" w:name="remediation-vlan"/>
    <w:p>
      <w:pPr>
        <w:pStyle w:val="Heading2"/>
      </w:pPr>
      <w:r>
        <w:t xml:space="preserve">Remediation VLAN</w:t>
      </w:r>
    </w:p>
    <w:p>
      <w:pPr>
        <w:pStyle w:val="FirstParagraph"/>
      </w:pPr>
      <w:r>
        <w:t xml:space="preserve">The Remediation VLAN (VLAN 200) has a limited ACL that permits:</w:t>
      </w:r>
    </w:p>
    <w:p>
      <w:pPr>
        <w:numPr>
          <w:ilvl w:val="0"/>
          <w:numId w:val="1009"/>
        </w:numPr>
        <w:pStyle w:val="Compact"/>
      </w:pPr>
      <w:r>
        <w:t xml:space="preserve">HTTPS to</w:t>
      </w:r>
      <w:r>
        <w:t xml:space="preserve"> </w:t>
      </w:r>
      <w:r>
        <w:rPr>
          <w:rStyle w:val="VerbatimChar"/>
        </w:rPr>
        <w:t xml:space="preserve">*.manage.microsoft.com</w:t>
      </w:r>
      <w:r>
        <w:t xml:space="preserve"> </w:t>
      </w:r>
      <w:r>
        <w:t xml:space="preserve">(Intune management traffic)</w:t>
      </w:r>
    </w:p>
    <w:p>
      <w:pPr>
        <w:numPr>
          <w:ilvl w:val="0"/>
          <w:numId w:val="1009"/>
        </w:numPr>
        <w:pStyle w:val="Compact"/>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numPr>
          <w:ilvl w:val="0"/>
          <w:numId w:val="1009"/>
        </w:numPr>
        <w:pStyle w:val="Compact"/>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numPr>
          <w:ilvl w:val="0"/>
          <w:numId w:val="1009"/>
        </w:numPr>
        <w:pStyle w:val="Compact"/>
      </w:pPr>
      <w:r>
        <w:t xml:space="preserve">DNS resolution for those names via the SSA DNS forwarder</w:t>
      </w:r>
    </w:p>
    <w:p>
      <w:pPr>
        <w:numPr>
          <w:ilvl w:val="0"/>
          <w:numId w:val="1009"/>
        </w:numPr>
        <w:pStyle w:val="Compact"/>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50"/>
    <w:bookmarkStart w:id="51" w:name="quarantine-vlan"/>
    <w:p>
      <w:pPr>
        <w:pStyle w:val="Heading2"/>
      </w:pPr>
      <w:r>
        <w:t xml:space="preserve">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Cs/>
          <w:i/>
        </w:rPr>
        <w:t xml:space="preserve">“</w:t>
      </w:r>
      <w:r>
        <w:rPr>
          <w:iCs/>
          <w:i/>
        </w:rPr>
        <w:t xml:space="preserve">This device is not authorized for SSA network access. If you believe this is in error, contact the SSA Help Desk.</w:t>
      </w:r>
      <w:r>
        <w:rPr>
          <w:iCs/>
          <w:i/>
        </w:rPr>
        <w:t xml:space="preserve">”</w:t>
      </w:r>
      <w:r>
        <w:t xml:space="preserve"> </w:t>
      </w:r>
      <w:r>
        <w:t xml:space="preserve">This prevents the user from believing the network is simply down and generating a flood of unrelated help desk calls.</w:t>
      </w:r>
    </w:p>
    <w:bookmarkEnd w:id="51"/>
    <w:bookmarkStart w:id="52" w:name="X3078d21c4d602b844659f443d791c6b5df2a64e"/>
    <w:p>
      <w:pPr>
        <w:pStyle w:val="Heading2"/>
      </w:pPr>
      <w:r>
        <w:t xml:space="preserve">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numPr>
          <w:ilvl w:val="0"/>
          <w:numId w:val="1010"/>
        </w:numPr>
        <w:pStyle w:val="Compact"/>
      </w:pPr>
      <w:r>
        <w:rPr>
          <w:bCs/>
          <w:b/>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numPr>
          <w:ilvl w:val="0"/>
          <w:numId w:val="1010"/>
        </w:numPr>
        <w:pStyle w:val="Compact"/>
      </w:pPr>
      <w:r>
        <w:rPr>
          <w:bCs/>
          <w:b/>
        </w:rPr>
        <w:t xml:space="preserve">Guest</w:t>
      </w:r>
      <w:r>
        <w:t xml:space="preserve"> </w:t>
      </w:r>
      <w:r>
        <w:t xml:space="preserve">— any MAC that does not match an approved prefix or an explicitly registered guest MAC receives VLAN 500 (Guest VLAN) with Internet routing only.</w:t>
      </w:r>
    </w:p>
    <w:p>
      <w:pPr>
        <w:pStyle w:val="FirstParagraph"/>
      </w:pPr>
      <w:r>
        <w:rPr>
          <w:bCs/>
          <w:b/>
        </w:rPr>
        <w:t xml:space="preserve">MAB is Identity by Assertion, Not Proof</w:t>
      </w:r>
      <w:r>
        <w:t xml:space="preserve"> </w:t>
      </w:r>
      <w:r>
        <w:t xml:space="preserve">— MAC addresses are trivially spoofable. MAB provides device</w:t>
      </w:r>
      <w:r>
        <w:t xml:space="preserve"> </w:t>
      </w:r>
      <w:r>
        <w:rPr>
          <w:iCs/>
          <w:i/>
        </w:rPr>
        <w:t xml:space="preserve">classification</w:t>
      </w:r>
      <w:r>
        <w:t xml:space="preserve">, not device</w:t>
      </w:r>
      <w:r>
        <w:t xml:space="preserve"> </w:t>
      </w:r>
      <w:r>
        <w:rPr>
          <w:iCs/>
          <w:i/>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bookmarkEnd w:id="52"/>
    <w:bookmarkEnd w:id="53"/>
    <w:bookmarkStart w:id="59" w:name="posture-assessment-integration"/>
    <w:p>
      <w:pPr>
        <w:pStyle w:val="Heading1"/>
      </w:pPr>
      <w:r>
        <w:t xml:space="preserve">Posture Assessment Integration</w:t>
      </w:r>
    </w:p>
    <w:bookmarkStart w:id="54" w:name="intune-compliance-as-the-posture-signal"/>
    <w:p>
      <w:pPr>
        <w:pStyle w:val="Heading2"/>
      </w:pPr>
      <w:r>
        <w:t xml:space="preserve">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numPr>
          <w:ilvl w:val="0"/>
          <w:numId w:val="1011"/>
        </w:numPr>
        <w:pStyle w:val="Compact"/>
      </w:pPr>
      <w:r>
        <w:rPr>
          <w:bCs/>
          <w:b/>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numPr>
          <w:ilvl w:val="0"/>
          <w:numId w:val="1011"/>
        </w:numPr>
        <w:pStyle w:val="Compact"/>
      </w:pPr>
      <w:r>
        <w:rPr>
          <w:bCs/>
          <w:b/>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4"/>
    <w:bookmarkStart w:id="58" w:name="X82725fdb1b3c735ef3f4e5298aea4aabc52542d"/>
    <w:p>
      <w:pPr>
        <w:pStyle w:val="Heading2"/>
      </w:pPr>
      <w:r>
        <w:t xml:space="preserve">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p>
      <w:pPr>
        <w:pStyle w:val="CaptionedFigure"/>
      </w:pPr>
      <w:r>
        <w:drawing>
          <wp:inline>
            <wp:extent cx="5334000" cy="3000375"/>
            <wp:effectExtent b="0" l="0" r="0" t="0"/>
            <wp:docPr descr="RADIUS Change of Authorization flow showing real-time VLAN reassignment when Intune marks a device non-compliant" title="" id="56" name="Picture"/>
            <a:graphic>
              <a:graphicData uri="http://schemas.openxmlformats.org/drawingml/2006/picture">
                <pic:pic>
                  <pic:nvPicPr>
                    <pic:cNvPr descr="figs/nac-fig-05-coa-flow.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RADIUS Change of Authorization flow showing real-time VLAN reassignment when Intune marks a device non-compliant</w:t>
      </w:r>
    </w:p>
    <w:bookmarkEnd w:id="58"/>
    <w:bookmarkEnd w:id="59"/>
    <w:bookmarkStart w:id="63" w:name="wired-and-wireless-nac"/>
    <w:p>
      <w:pPr>
        <w:pStyle w:val="Heading1"/>
      </w:pPr>
      <w:r>
        <w:t xml:space="preserve">Wired and Wireless NAC</w:t>
      </w:r>
    </w:p>
    <w:bookmarkStart w:id="60" w:name="wired-802.1x"/>
    <w:p>
      <w:pPr>
        <w:pStyle w:val="Heading2"/>
      </w:pPr>
      <w:r>
        <w:t xml:space="preserve">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Cs/>
          <w:b/>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0"/>
    <w:bookmarkStart w:id="61" w:name="wireless-802.1x-wpa3-enterprise"/>
    <w:p>
      <w:pPr>
        <w:pStyle w:val="Heading2"/>
      </w:pPr>
      <w:r>
        <w:t xml:space="preserve">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1"/>
    <w:bookmarkStart w:id="62" w:name="session-timeout-and-re-authentication"/>
    <w:p>
      <w:pPr>
        <w:pStyle w:val="Heading2"/>
      </w:pPr>
      <w:r>
        <w:t xml:space="preserve">Session Timeout and Re-Authentication</w:t>
      </w:r>
    </w:p>
    <w:p>
      <w:pPr>
        <w:pStyle w:val="FirstParagraph"/>
      </w:pPr>
      <w:r>
        <w:t xml:space="preserve">NPS Network Policy sets the following session parameters:</w:t>
      </w:r>
    </w:p>
    <w:tbl>
      <w:tblPr>
        <w:tblStyle w:val="Table"/>
        <w:tblW w:type="pct" w:w="5000"/>
        <w:tblLook w:firstRow="1" w:lastRow="0" w:firstColumn="0" w:lastColumn="0" w:noHBand="0" w:noVBand="0" w:val="0020"/>
        <w:jc w:val="start"/>
      </w:tblPr>
      <w:tblGrid>
        <w:gridCol w:w="3004"/>
        <w:gridCol w:w="1911"/>
        <w:gridCol w:w="3004"/>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Session-Timeout</w:t>
            </w:r>
          </w:p>
        </w:tc>
        <w:tc>
          <w:tcPr/>
          <w:p>
            <w:pPr>
              <w:pStyle w:val="Compact"/>
              <w:jc w:val="left"/>
            </w:pPr>
            <w:r>
              <w:t xml:space="preserve">28800 (8 hours)</w:t>
            </w:r>
          </w:p>
        </w:tc>
        <w:tc>
          <w:tcPr/>
          <w:p>
            <w:pPr>
              <w:pStyle w:val="Compact"/>
              <w:jc w:val="left"/>
            </w:pPr>
            <w:r>
              <w:t xml:space="preserve">Re-auth once per work shift; balance between security and overhead</w:t>
            </w:r>
          </w:p>
        </w:tc>
      </w:tr>
      <w:tr>
        <w:tc>
          <w:tcPr/>
          <w:p>
            <w:pPr>
              <w:pStyle w:val="Compact"/>
              <w:jc w:val="left"/>
            </w:pPr>
            <w:r>
              <w:t xml:space="preserve">Termination-Action</w:t>
            </w:r>
          </w:p>
        </w:tc>
        <w:tc>
          <w:tcPr/>
          <w:p>
            <w:pPr>
              <w:pStyle w:val="Compact"/>
              <w:jc w:val="left"/>
            </w:pPr>
            <w:r>
              <w:t xml:space="preserve">RADIUS-Request</w:t>
            </w:r>
          </w:p>
        </w:tc>
        <w:tc>
          <w:tcPr/>
          <w:p>
            <w:pPr>
              <w:pStyle w:val="Compact"/>
              <w:jc w:val="left"/>
            </w:pPr>
            <w:r>
              <w:t xml:space="preserve">Re-authenticate (not disconnect) on timeout</w:t>
            </w:r>
          </w:p>
        </w:tc>
      </w:tr>
      <w:tr>
        <w:tc>
          <w:tcPr/>
          <w:p>
            <w:pPr>
              <w:pStyle w:val="Compact"/>
              <w:jc w:val="left"/>
            </w:pPr>
            <w:r>
              <w:t xml:space="preserve">Idle-Timeout</w:t>
            </w:r>
          </w:p>
        </w:tc>
        <w:tc>
          <w:tcPr/>
          <w:p>
            <w:pPr>
              <w:pStyle w:val="Compact"/>
              <w:jc w:val="left"/>
            </w:pPr>
            <w:r>
              <w:t xml:space="preserve">1800 (30 min)</w:t>
            </w:r>
          </w:p>
        </w:tc>
        <w:tc>
          <w:tcPr/>
          <w:p>
            <w:pPr>
              <w:pStyle w:val="Compact"/>
              <w:jc w:val="lef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2"/>
    <w:bookmarkEnd w:id="63"/>
    <w:bookmarkStart w:id="68" w:name="infoblox-integration"/>
    <w:p>
      <w:pPr>
        <w:pStyle w:val="Heading1"/>
      </w:pPr>
      <w:r>
        <w:t xml:space="preserve">InfoBlox Integration</w:t>
      </w:r>
    </w:p>
    <w:bookmarkStart w:id="64" w:name="dhcp-fingerprinting-and-device-profiling"/>
    <w:p>
      <w:pPr>
        <w:pStyle w:val="Heading2"/>
      </w:pPr>
      <w:r>
        <w:t xml:space="preserve">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Cs/>
          <w:b/>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Cs/>
          <w:b/>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4"/>
    <w:bookmarkStart w:id="67" w:name="ipam-driven-vlan-assignment"/>
    <w:p>
      <w:pPr>
        <w:pStyle w:val="Heading2"/>
      </w:pPr>
      <w:r>
        <w:t xml:space="preserve">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numPr>
          <w:ilvl w:val="0"/>
          <w:numId w:val="1013"/>
        </w:numPr>
        <w:pStyle w:val="Compact"/>
      </w:pPr>
      <w:r>
        <w:t xml:space="preserve">Device MAC address</w:t>
      </w:r>
    </w:p>
    <w:p>
      <w:pPr>
        <w:numPr>
          <w:ilvl w:val="0"/>
          <w:numId w:val="1013"/>
        </w:numPr>
        <w:pStyle w:val="Compact"/>
      </w:pPr>
      <w:r>
        <w:t xml:space="preserve">Device DNS name (from the Entra ID device object)</w:t>
      </w:r>
    </w:p>
    <w:p>
      <w:pPr>
        <w:numPr>
          <w:ilvl w:val="0"/>
          <w:numId w:val="1013"/>
        </w:numPr>
        <w:pStyle w:val="Compact"/>
      </w:pPr>
      <w:r>
        <w:t xml:space="preserve">Assigned VLAN and IP address</w:t>
      </w:r>
    </w:p>
    <w:p>
      <w:pPr>
        <w:numPr>
          <w:ilvl w:val="0"/>
          <w:numId w:val="1013"/>
        </w:numPr>
        <w:pStyle w:val="Compact"/>
      </w:pPr>
      <w:r>
        <w:t xml:space="preserve">Assignment timestamp and lease duration</w:t>
      </w:r>
    </w:p>
    <w:p>
      <w:pPr>
        <w:numPr>
          <w:ilvl w:val="0"/>
          <w:numId w:val="1013"/>
        </w:numPr>
        <w:pStyle w:val="Compact"/>
      </w:pPr>
      <w:r>
        <w:t xml:space="preserve">NAC authentication result (certificate SAN, compliance verdict)</w:t>
      </w:r>
    </w:p>
    <w:p>
      <w:pPr>
        <w:pStyle w:val="FirstParagraph"/>
      </w:pPr>
      <w:r>
        <w:t xml:space="preserve">This record is the</w:t>
      </w:r>
      <w:r>
        <w:t xml:space="preserve"> </w:t>
      </w:r>
      <w:r>
        <w:rPr>
          <w:bCs/>
          <w:b/>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p>
      <w:pPr>
        <w:pStyle w:val="BodyText"/>
      </w:pPr>
      <w:r>
        <w:rPr>
          <w:bCs/>
          <w:b/>
        </w:rPr>
        <w:t xml:space="preserve">Cross-Book Link — DNS Hostname + Certificate Binding at NAC Admission (Books 01 and 03):</w:t>
      </w:r>
      <w:r>
        <w:t xml:space="preserve"> </w:t>
      </w:r>
      <w:r>
        <w:t xml:space="preserve">For every NAC-admitted endpoint, two compound events should occur together at admission:</w:t>
      </w:r>
    </w:p>
    <w:p>
      <w:pPr>
        <w:numPr>
          <w:ilvl w:val="0"/>
          <w:numId w:val="1014"/>
        </w:numPr>
        <w:pStyle w:val="Compact"/>
      </w:pPr>
      <w:r>
        <w:rPr>
          <w:bCs/>
          <w:b/>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numPr>
          <w:ilvl w:val="0"/>
          <w:numId w:val="1014"/>
        </w:numPr>
        <w:pStyle w:val="Compact"/>
      </w:pPr>
      <w:r>
        <w:rPr>
          <w:bCs/>
          <w:b/>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r>
        <w:t xml:space="preserve">When both events complete, every NAC-admitted device has</w:t>
      </w:r>
      <w:r>
        <w:t xml:space="preserve"> </w:t>
      </w:r>
      <w:r>
        <w:rPr>
          <w:bCs/>
          <w:b/>
        </w:rPr>
        <w:t xml:space="preserve">name, address, and key bound together</w:t>
      </w:r>
      <w:r>
        <w:t xml:space="preserve"> </w:t>
      </w:r>
      <w:r>
        <w:t xml:space="preserve">— the same compound guarantee that</w:t>
      </w:r>
      <w:r>
        <w:t xml:space="preserve"> </w:t>
      </w:r>
      <w:hyperlink r:id="rId65">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66">
        <w:r>
          <w:rPr>
            <w:rStyle w:val="Hyperlink"/>
          </w:rPr>
          <w:t xml:space="preserve">Book 03</w:t>
        </w:r>
      </w:hyperlink>
      <w:r>
        <w:t xml:space="preserve">. The design decision for the hostname-to-cert binding must be validated with OIS.</w:t>
      </w:r>
    </w:p>
    <w:bookmarkEnd w:id="67"/>
    <w:bookmarkEnd w:id="68"/>
    <w:bookmarkStart w:id="71" w:name="logging-and-monitoring"/>
    <w:p>
      <w:pPr>
        <w:pStyle w:val="Heading1"/>
      </w:pPr>
      <w:r>
        <w:t xml:space="preserve">Logging and Monitoring</w:t>
      </w:r>
    </w:p>
    <w:bookmarkStart w:id="69" w:name="radius-accounting-to-sentinel"/>
    <w:p>
      <w:pPr>
        <w:pStyle w:val="Heading2"/>
      </w:pPr>
      <w:r>
        <w:t xml:space="preserve">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numPr>
          <w:ilvl w:val="0"/>
          <w:numId w:val="1015"/>
        </w:numPr>
        <w:pStyle w:val="Compact"/>
      </w:pPr>
      <w:r>
        <w:t xml:space="preserve">Device MAC address (Calling-Station-Id)</w:t>
      </w:r>
    </w:p>
    <w:p>
      <w:pPr>
        <w:numPr>
          <w:ilvl w:val="0"/>
          <w:numId w:val="1015"/>
        </w:numPr>
        <w:pStyle w:val="Compact"/>
      </w:pPr>
      <w:r>
        <w:t xml:space="preserve">Switch IP and port (NAS-IP-Address, NAS-Port)</w:t>
      </w:r>
    </w:p>
    <w:p>
      <w:pPr>
        <w:numPr>
          <w:ilvl w:val="0"/>
          <w:numId w:val="1015"/>
        </w:numPr>
        <w:pStyle w:val="Compact"/>
      </w:pPr>
      <w:r>
        <w:t xml:space="preserve">Authentication result (Access-Accept / Access-Reject)</w:t>
      </w:r>
    </w:p>
    <w:p>
      <w:pPr>
        <w:numPr>
          <w:ilvl w:val="0"/>
          <w:numId w:val="1015"/>
        </w:numPr>
        <w:pStyle w:val="Compact"/>
      </w:pPr>
      <w:r>
        <w:t xml:space="preserve">VLAN assigned (Tunnel-Private-Group-ID)</w:t>
      </w:r>
    </w:p>
    <w:p>
      <w:pPr>
        <w:numPr>
          <w:ilvl w:val="0"/>
          <w:numId w:val="1015"/>
        </w:numPr>
        <w:pStyle w:val="Compact"/>
      </w:pPr>
      <w:r>
        <w:t xml:space="preserve">Reason for rejection (if applicable)</w:t>
      </w:r>
    </w:p>
    <w:p>
      <w:pPr>
        <w:numPr>
          <w:ilvl w:val="0"/>
          <w:numId w:val="1015"/>
        </w:numPr>
        <w:pStyle w:val="Compact"/>
      </w:pPr>
      <w:r>
        <w:t xml:space="preserve">Certificate SAN (User-Name attribute in EAP-TLS)</w:t>
      </w:r>
    </w:p>
    <w:p>
      <w:pPr>
        <w:numPr>
          <w:ilvl w:val="0"/>
          <w:numId w:val="1015"/>
        </w:numPr>
        <w:pStyle w:val="Compact"/>
      </w:pPr>
      <w:r>
        <w:t xml:space="preserve">Session duration</w:t>
      </w:r>
    </w:p>
    <w:p>
      <w:pPr>
        <w:pStyle w:val="FirstParagraph"/>
      </w:pPr>
      <w:r>
        <w:t xml:space="preserve">These events are the</w:t>
      </w:r>
      <w:r>
        <w:t xml:space="preserve"> </w:t>
      </w:r>
      <w:r>
        <w:rPr>
          <w:bCs/>
          <w:b/>
        </w:rPr>
        <w:t xml:space="preserve">IA-3 control evidence artifact</w:t>
      </w:r>
      <w:r>
        <w:t xml:space="preserve"> </w:t>
      </w:r>
      <w:r>
        <w:t xml:space="preserve">— a complete audit trail of every device identity assertion and its outcome.</w:t>
      </w:r>
    </w:p>
    <w:bookmarkEnd w:id="69"/>
    <w:bookmarkStart w:id="70" w:name="sentinel-analytics-rules-for-nac"/>
    <w:p>
      <w:pPr>
        <w:pStyle w:val="Heading2"/>
      </w:pPr>
      <w:r>
        <w:t xml:space="preserve">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0"/>
    <w:bookmarkEnd w:id="71"/>
    <w:bookmarkStart w:id="79" w:name="phased-implementation"/>
    <w:p>
      <w:pPr>
        <w:pStyle w:val="Heading1"/>
      </w:pPr>
      <w:r>
        <w:t xml:space="preserve">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p>
      <w:pPr>
        <w:pStyle w:val="CaptionedFigure"/>
      </w:pPr>
      <w:r>
        <w:drawing>
          <wp:inline>
            <wp:extent cx="5334000" cy="3000375"/>
            <wp:effectExtent b="0" l="0" r="0" t="0"/>
            <wp:docPr descr="NAC phased deployment timeline showing monitor mode, wired enforcement, wireless enforcement, and IoT segmentation phases with key milestones" title="" id="73" name="Picture"/>
            <a:graphic>
              <a:graphicData uri="http://schemas.openxmlformats.org/drawingml/2006/picture">
                <pic:pic>
                  <pic:nvPicPr>
                    <pic:cNvPr descr="figs/nac-fig-06-deployment-phas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NAC phased deployment timeline showing monitor mode, wired enforcement, wireless enforcement, and IoT segmentation phases with key milestones</w:t>
      </w:r>
    </w:p>
    <w:bookmarkStart w:id="75" w:name="phase-1-monitor-mode-weeks-14"/>
    <w:p>
      <w:pPr>
        <w:pStyle w:val="Heading2"/>
      </w:pPr>
      <w:r>
        <w:t xml:space="preserve">Phase 1 — Monitor Mode (Weeks 1–4)</w:t>
      </w:r>
    </w:p>
    <w:p>
      <w:pPr>
        <w:pStyle w:val="FirstParagraph"/>
      </w:pPr>
      <w:r>
        <w:t xml:space="preserve">Configure 802.1X on all ports in</w:t>
      </w:r>
      <w:r>
        <w:t xml:space="preserve"> </w:t>
      </w:r>
      <w:r>
        <w:rPr>
          <w:bCs/>
          <w:b/>
        </w:rPr>
        <w:t xml:space="preserve">open mode</w:t>
      </w:r>
      <w:r>
        <w:t xml:space="preserve"> </w:t>
      </w:r>
      <w:r>
        <w:t xml:space="preserve">(</w:t>
      </w:r>
      <w:r>
        <w:rPr>
          <w:rStyle w:val="VerbatimChar"/>
        </w:rPr>
        <w:t xml:space="preserve">authentication open</w:t>
      </w:r>
      <w:r>
        <w:t xml:space="preserve"> </w:t>
      </w:r>
      <w:r>
        <w:t xml:space="preserve">on Cisco IOS-XE). In open mode:</w:t>
      </w:r>
    </w:p>
    <w:p>
      <w:pPr>
        <w:numPr>
          <w:ilvl w:val="0"/>
          <w:numId w:val="1016"/>
        </w:numPr>
        <w:pStyle w:val="Compact"/>
      </w:pPr>
      <w:r>
        <w:t xml:space="preserve">The 802.1X authentication exchange occurs normally.</w:t>
      </w:r>
    </w:p>
    <w:p>
      <w:pPr>
        <w:numPr>
          <w:ilvl w:val="0"/>
          <w:numId w:val="1016"/>
        </w:numPr>
        <w:pStyle w:val="Compact"/>
      </w:pPr>
      <w:r>
        <w:t xml:space="preserve">RADIUS returns Accept or Reject based on certificate validation and compliance.</w:t>
      </w:r>
    </w:p>
    <w:p>
      <w:pPr>
        <w:numPr>
          <w:ilvl w:val="0"/>
          <w:numId w:val="1016"/>
        </w:numPr>
        <w:pStyle w:val="Compact"/>
      </w:pPr>
      <w:r>
        <w:t xml:space="preserve">The switch</w:t>
      </w:r>
      <w:r>
        <w:t xml:space="preserve"> </w:t>
      </w:r>
      <w:r>
        <w:rPr>
          <w:bCs/>
          <w:b/>
        </w:rPr>
        <w:t xml:space="preserve">ignores the Reject</w:t>
      </w:r>
      <w:r>
        <w:t xml:space="preserve"> </w:t>
      </w:r>
      <w:r>
        <w:t xml:space="preserve">— all devices receive network access regardless of authentication result.</w:t>
      </w:r>
    </w:p>
    <w:p>
      <w:pPr>
        <w:numPr>
          <w:ilvl w:val="0"/>
          <w:numId w:val="1016"/>
        </w:numPr>
        <w:pStyle w:val="Compact"/>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numPr>
          <w:ilvl w:val="0"/>
          <w:numId w:val="1017"/>
        </w:numPr>
        <w:pStyle w:val="Compact"/>
      </w:pPr>
      <w:r>
        <w:t xml:space="preserve">Count of devices that passed EAP-TLS with compliant status</w:t>
      </w:r>
    </w:p>
    <w:p>
      <w:pPr>
        <w:numPr>
          <w:ilvl w:val="0"/>
          <w:numId w:val="1017"/>
        </w:numPr>
        <w:pStyle w:val="Compact"/>
      </w:pPr>
      <w:r>
        <w:t xml:space="preserve">Count of devices that passed EAP-TLS but failed compliance</w:t>
      </w:r>
    </w:p>
    <w:p>
      <w:pPr>
        <w:numPr>
          <w:ilvl w:val="0"/>
          <w:numId w:val="1017"/>
        </w:numPr>
        <w:pStyle w:val="Compact"/>
      </w:pPr>
      <w:r>
        <w:t xml:space="preserve">Count of devices with no supplicant (MAB fallback)</w:t>
      </w:r>
    </w:p>
    <w:p>
      <w:pPr>
        <w:numPr>
          <w:ilvl w:val="0"/>
          <w:numId w:val="1017"/>
        </w:numPr>
        <w:pStyle w:val="Compact"/>
      </w:pPr>
      <w:r>
        <w:t xml:space="preserve">Count of devices with expired or missing certificates</w:t>
      </w:r>
    </w:p>
    <w:p>
      <w:pPr>
        <w:numPr>
          <w:ilvl w:val="0"/>
          <w:numId w:val="1017"/>
        </w:numPr>
        <w:pStyle w:val="Compact"/>
      </w:pPr>
      <w:r>
        <w:t xml:space="preserve">Count of unrecognized MAB devices</w:t>
      </w:r>
    </w:p>
    <w:p>
      <w:pPr>
        <w:pStyle w:val="FirstParagraph"/>
      </w:pPr>
      <w:r>
        <w:t xml:space="preserve">This report is the baseline for Phase 2 readiness.</w:t>
      </w:r>
    </w:p>
    <w:bookmarkEnd w:id="75"/>
    <w:bookmarkStart w:id="76" w:name="phase-2-wired-enforcement-weeks-510"/>
    <w:p>
      <w:pPr>
        <w:pStyle w:val="Heading2"/>
      </w:pPr>
      <w:r>
        <w:t xml:space="preserve">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numPr>
          <w:ilvl w:val="0"/>
          <w:numId w:val="1018"/>
        </w:numPr>
        <w:pStyle w:val="Compact"/>
      </w:pPr>
      <w:r>
        <w:t xml:space="preserve">Remediate all managed workstations with expired certificates (Intune SCEP profile re-push).</w:t>
      </w:r>
    </w:p>
    <w:p>
      <w:pPr>
        <w:numPr>
          <w:ilvl w:val="0"/>
          <w:numId w:val="1018"/>
        </w:numPr>
        <w:pStyle w:val="Compact"/>
      </w:pPr>
      <w:r>
        <w:t xml:space="preserve">Register all approved IoT/OT devices in the InfoBlox MAC database with device class tags.</w:t>
      </w:r>
    </w:p>
    <w:p>
      <w:pPr>
        <w:numPr>
          <w:ilvl w:val="0"/>
          <w:numId w:val="1018"/>
        </w:numPr>
        <w:pStyle w:val="Compact"/>
      </w:pPr>
      <w:r>
        <w:t xml:space="preserve">Configure the captive portal for the quarantine VLAN.</w:t>
      </w:r>
    </w:p>
    <w:p>
      <w:pPr>
        <w:numPr>
          <w:ilvl w:val="0"/>
          <w:numId w:val="1018"/>
        </w:numPr>
        <w:pStyle w:val="Compact"/>
      </w:pPr>
      <w:r>
        <w:t xml:space="preserve">Enable the CoA agent (Azure Function) and test the compliance-state-change VLAN reassignment.</w:t>
      </w:r>
    </w:p>
    <w:p>
      <w:pPr>
        <w:numPr>
          <w:ilvl w:val="0"/>
          <w:numId w:val="1018"/>
        </w:numPr>
        <w:pStyle w:val="Compact"/>
      </w:pPr>
      <w:r>
        <w:t xml:space="preserve">Enable the Sentinel analytics rules and configure alert routing to the SSA SOC.</w:t>
      </w:r>
    </w:p>
    <w:bookmarkEnd w:id="76"/>
    <w:bookmarkStart w:id="77" w:name="phase-3-wireless-enforcement-weeks-1114"/>
    <w:p>
      <w:pPr>
        <w:pStyle w:val="Heading2"/>
      </w:pPr>
      <w:r>
        <w:t xml:space="preserve">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numPr>
          <w:ilvl w:val="0"/>
          <w:numId w:val="1019"/>
        </w:numPr>
        <w:pStyle w:val="Compact"/>
      </w:pPr>
      <w:r>
        <w:t xml:space="preserve">Push the new WPA3-Enterprise Wi-Fi profile to all Intune-enrolled devices.</w:t>
      </w:r>
    </w:p>
    <w:p>
      <w:pPr>
        <w:numPr>
          <w:ilvl w:val="0"/>
          <w:numId w:val="1019"/>
        </w:numPr>
        <w:pStyle w:val="Compact"/>
      </w:pPr>
      <w:r>
        <w:t xml:space="preserve">The profile includes the EAP-TLS settings, RADIUS server certificate trust, and the SSID name.</w:t>
      </w:r>
    </w:p>
    <w:p>
      <w:pPr>
        <w:numPr>
          <w:ilvl w:val="0"/>
          <w:numId w:val="1019"/>
        </w:numPr>
        <w:pStyle w:val="Compact"/>
      </w:pPr>
      <w:r>
        <w:t xml:space="preserve">Devices connect to the new SSID automatically using the machine certificate.</w:t>
      </w:r>
    </w:p>
    <w:p>
      <w:pPr>
        <w:numPr>
          <w:ilvl w:val="0"/>
          <w:numId w:val="1019"/>
        </w:numPr>
        <w:pStyle w:val="Compact"/>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77"/>
    <w:bookmarkStart w:id="78" w:name="X18aafc1ddc00ee7cd41bea8803075116ceb7de4"/>
    <w:p>
      <w:pPr>
        <w:pStyle w:val="Heading2"/>
      </w:pPr>
      <w:r>
        <w:t xml:space="preserve">Phase 4 — IoT Segmentation and Hardening (Weeks 15–20)</w:t>
      </w:r>
    </w:p>
    <w:p>
      <w:pPr>
        <w:pStyle w:val="FirstParagraph"/>
      </w:pPr>
      <w:r>
        <w:t xml:space="preserve">Refine the MAB policy based on operational experience from Phases 2–3:</w:t>
      </w:r>
    </w:p>
    <w:p>
      <w:pPr>
        <w:numPr>
          <w:ilvl w:val="0"/>
          <w:numId w:val="1020"/>
        </w:numPr>
        <w:pStyle w:val="Compact"/>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numPr>
          <w:ilvl w:val="0"/>
          <w:numId w:val="1020"/>
        </w:numPr>
        <w:pStyle w:val="Compact"/>
      </w:pPr>
      <w:r>
        <w:t xml:space="preserve">Document the exception process for new IoT device deployments (asset registration in InfoBlox before deployment is a prerequisite for MAB approval).</w:t>
      </w:r>
    </w:p>
    <w:p>
      <w:pPr>
        <w:numPr>
          <w:ilvl w:val="0"/>
          <w:numId w:val="1020"/>
        </w:numPr>
        <w:pStyle w:val="Compact"/>
      </w:pPr>
      <w:r>
        <w:t xml:space="preserve">Conduct a tabletop exercise simulating a rogue device plugged into a conference room port — verify that the quarantine VLAN fires, Sentinel alerts, and the CoA agent responds correctly.</w:t>
      </w:r>
    </w:p>
    <w:bookmarkEnd w:id="78"/>
    <w:bookmarkEnd w:id="79"/>
    <w:bookmarkStart w:id="83" w:name="nist-sp-800-53-rev-5-control-closure"/>
    <w:p>
      <w:pPr>
        <w:pStyle w:val="Heading1"/>
      </w:pPr>
      <w:r>
        <w:t xml:space="preserve">NIST SP 800-53 Rev 5 Control Closure</w:t>
      </w:r>
    </w:p>
    <w:p>
      <w:pPr>
        <w:pStyle w:val="FirstParagraph"/>
      </w:pPr>
      <w:r>
        <w:t xml:space="preserve">The following table maps each NIST control addressed by this document to its state before and after implementation.</w:t>
      </w:r>
    </w:p>
    <w:p>
      <w:pPr>
        <w:pStyle w:val="CaptionedFigure"/>
      </w:pPr>
      <w:r>
        <w:drawing>
          <wp:inline>
            <wp:extent cx="5334000" cy="3000375"/>
            <wp:effectExtent b="0" l="0" r="0" t="0"/>
            <wp:docPr descr="NIST control closure for Part 2 NAC showing before and after state for IA, AC, SC, and CM controls" title="" id="81" name="Picture"/>
            <a:graphic>
              <a:graphicData uri="http://schemas.openxmlformats.org/drawingml/2006/picture">
                <pic:pic>
                  <pic:nvPicPr>
                    <pic:cNvPr descr="figs/nac-fig-07-nist-closure.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NIST control closure for Part 2 NAC showing before and after state for IA, AC, SC, and CM controls</w:t>
      </w:r>
    </w:p>
    <w:p>
      <w:pPr>
        <w:pStyle w:val="TableCaption"/>
      </w:pPr>
      <w:r>
        <w:t xml:space="preserve">NIST SP 800-53 Rev 5 control closure for Part 2 — Network Access Control {.striped .hover}</w:t>
      </w:r>
    </w:p>
    <w:tbl>
      <w:tblPr>
        <w:tblStyle w:val="Table"/>
        <w:tblW w:type="pct" w:w="5000"/>
        <w:tblLook w:firstRow="1" w:lastRow="0" w:firstColumn="0" w:lastColumn="0" w:noHBand="0" w:noVBand="0" w:val="0020"/>
        <w:jc w:val="start"/>
        <w:tblCaption w:val="NIST SP 800-53 Rev 5 control closure for Part 2 — Network Access Control {.striped .hover}"/>
      </w:tblPr>
      <w:tblGrid>
        <w:gridCol w:w="1048"/>
        <w:gridCol w:w="815"/>
        <w:gridCol w:w="2562"/>
        <w:gridCol w:w="2212"/>
        <w:gridCol w:w="1281"/>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Document</w:t>
            </w:r>
          </w:p>
        </w:tc>
        <w:tc>
          <w:tcPr/>
          <w:p>
            <w:pPr>
              <w:pStyle w:val="Compact"/>
              <w:jc w:val="left"/>
            </w:pPr>
            <w:r>
              <w:t xml:space="preserve">With This Document</w:t>
            </w:r>
          </w:p>
        </w:tc>
        <w:tc>
          <w:tcPr/>
          <w:p>
            <w:pPr>
              <w:pStyle w:val="Compact"/>
              <w:jc w:val="left"/>
            </w:pPr>
            <w:r>
              <w:t xml:space="preserve">Authority</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Devices connect to SSA network ports without presenting any device identity assertion; the network cannot distinguish a managed SSA workstation from an unauthorized device on the same physical port</w:t>
            </w:r>
          </w:p>
        </w:tc>
        <w:tc>
          <w:tcPr/>
          <w:p>
            <w:pPr>
              <w:pStyle w:val="Compact"/>
              <w:jc w:val="lef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jc w:val="left"/>
            </w:pPr>
            <w:r>
              <w:t xml:space="preserve">NIST SP 800-53 Rev 5 IA-3</w:t>
            </w:r>
          </w:p>
        </w:tc>
      </w:tr>
      <w:tr>
        <w:tc>
          <w:tcPr/>
          <w:p>
            <w:pPr>
              <w:pStyle w:val="Compact"/>
              <w:jc w:val="left"/>
            </w:pPr>
            <w:r>
              <w:rPr>
                <w:bCs/>
                <w:b/>
              </w:rPr>
              <w:t xml:space="preserve">IA-3(1)</w:t>
            </w:r>
          </w:p>
        </w:tc>
        <w:tc>
          <w:tcPr/>
          <w:p>
            <w:pPr>
              <w:pStyle w:val="Compact"/>
              <w:jc w:val="left"/>
            </w:pPr>
            <w:r>
              <w:t xml:space="preserve">Cryptographic Bidirectional Authentication</w:t>
            </w:r>
          </w:p>
        </w:tc>
        <w:tc>
          <w:tcPr/>
          <w:p>
            <w:pPr>
              <w:pStyle w:val="Compact"/>
              <w:jc w:val="left"/>
            </w:pPr>
            <w:r>
              <w:t xml:space="preserve">No device-layer mutual authentication exists; switches do not authenticate to devices and devices do not authenticate to the network</w:t>
            </w:r>
          </w:p>
        </w:tc>
        <w:tc>
          <w:tcPr/>
          <w:p>
            <w:pPr>
              <w:pStyle w:val="Compact"/>
              <w:jc w:val="lef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jc w:val="left"/>
            </w:pPr>
            <w:r>
              <w:t xml:space="preserve">NIST SP 800-53 Rev 5 IA-3(1)</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jc w:val="left"/>
            </w:pPr>
            <w:r>
              <w:t xml:space="preserve">Network access policy is enforced at the port layer before IP connectivity is granted; a device that cannot authenticate never receives a routed IP address in a production segment</w:t>
            </w:r>
          </w:p>
        </w:tc>
        <w:tc>
          <w:tcPr/>
          <w:p>
            <w:pPr>
              <w:pStyle w:val="Compact"/>
              <w:jc w:val="left"/>
            </w:pPr>
            <w:r>
              <w:t xml:space="preserve">NIST SP 800-53 Rev 5 AC-3</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VPN and remote access require user authentication via Entra ID; device compliance is evaluated by Conditional Access</w:t>
            </w:r>
          </w:p>
        </w:tc>
        <w:tc>
          <w:tcPr/>
          <w:p>
            <w:pPr>
              <w:pStyle w:val="Compact"/>
              <w:jc w:val="lef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jc w:val="left"/>
            </w:pPr>
            <w:r>
              <w:t xml:space="preserve">NIST SP 800-53 Rev 5 AC-17</w:t>
            </w:r>
          </w:p>
        </w:tc>
      </w:tr>
      <w:tr>
        <w:tc>
          <w:tcPr/>
          <w:p>
            <w:pPr>
              <w:pStyle w:val="Compact"/>
              <w:jc w:val="left"/>
            </w:pPr>
            <w:r>
              <w:rPr>
                <w:bCs/>
                <w:b/>
              </w:rPr>
              <w:t xml:space="preserve">AC-19</w:t>
            </w:r>
          </w:p>
        </w:tc>
        <w:tc>
          <w:tcPr/>
          <w:p>
            <w:pPr>
              <w:pStyle w:val="Compact"/>
              <w:jc w:val="left"/>
            </w:pPr>
            <w:r>
              <w:t xml:space="preserve">Access Control for Mobile Devices</w:t>
            </w:r>
          </w:p>
        </w:tc>
        <w:tc>
          <w:tcPr/>
          <w:p>
            <w:pPr>
              <w:pStyle w:val="Compact"/>
              <w:jc w:val="left"/>
            </w:pPr>
            <w:r>
              <w:t xml:space="preserve">Mobile devices and personal laptops connecting to SSA wireless receive the same SSID access as managed devices; no device identity check distinguishes them</w:t>
            </w:r>
          </w:p>
        </w:tc>
        <w:tc>
          <w:tcPr/>
          <w:p>
            <w:pPr>
              <w:pStyle w:val="Compact"/>
              <w:jc w:val="lef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jc w:val="left"/>
            </w:pPr>
            <w:r>
              <w:t xml:space="preserve">NIST SP 800-53 Rev 5 AC-19</w:t>
            </w:r>
          </w:p>
        </w:tc>
      </w:tr>
      <w:tr>
        <w:tc>
          <w:tcPr/>
          <w:p>
            <w:pPr>
              <w:pStyle w:val="Compact"/>
              <w:jc w:val="left"/>
            </w:pPr>
            <w:r>
              <w:rPr>
                <w:bCs/>
                <w:b/>
              </w:rPr>
              <w:t xml:space="preserve">AC-20</w:t>
            </w:r>
          </w:p>
        </w:tc>
        <w:tc>
          <w:tcPr/>
          <w:p>
            <w:pPr>
              <w:pStyle w:val="Compact"/>
              <w:jc w:val="left"/>
            </w:pPr>
            <w:r>
              <w:t xml:space="preserve">Use of External Systems</w:t>
            </w:r>
          </w:p>
        </w:tc>
        <w:tc>
          <w:tcPr/>
          <w:p>
            <w:pPr>
              <w:pStyle w:val="Compact"/>
              <w:jc w:val="left"/>
            </w:pPr>
            <w:r>
              <w:t xml:space="preserve">Vendor and contractor devices that connect to SSA conference room ports are treated identically to managed SSA devices by the network</w:t>
            </w:r>
          </w:p>
        </w:tc>
        <w:tc>
          <w:tcPr/>
          <w:p>
            <w:pPr>
              <w:pStyle w:val="Compact"/>
              <w:jc w:val="lef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jc w:val="left"/>
            </w:pPr>
            <w:r>
              <w:t xml:space="preserve">NIST SP 800-53 Rev 5 AC-20</w:t>
            </w:r>
          </w:p>
        </w:tc>
      </w:tr>
      <w:tr>
        <w:tc>
          <w:tcPr/>
          <w:p>
            <w:pPr>
              <w:pStyle w:val="Compact"/>
              <w:jc w:val="left"/>
            </w:pPr>
            <w:r>
              <w:rPr>
                <w:bCs/>
                <w:b/>
              </w:rPr>
              <w:t xml:space="preserve">SC-7(3)</w:t>
            </w:r>
          </w:p>
        </w:tc>
        <w:tc>
          <w:tcPr/>
          <w:p>
            <w:pPr>
              <w:pStyle w:val="Compact"/>
              <w:jc w:val="left"/>
            </w:pPr>
            <w:r>
              <w:t xml:space="preserve">Boundary Protection — Access Points</w:t>
            </w:r>
          </w:p>
        </w:tc>
        <w:tc>
          <w:tcPr/>
          <w:p>
            <w:pPr>
              <w:pStyle w:val="Compact"/>
              <w:jc w:val="left"/>
            </w:pPr>
            <w:r>
              <w:t xml:space="preserve">Network access points (switch ports, WAPs) are open to any physically connected device; the boundary is the building perimeter, not the network port</w:t>
            </w:r>
          </w:p>
        </w:tc>
        <w:tc>
          <w:tcPr/>
          <w:p>
            <w:pPr>
              <w:pStyle w:val="Compact"/>
              <w:jc w:val="lef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jc w:val="left"/>
            </w:pPr>
            <w:r>
              <w:t xml:space="preserve">NIST SP 800-53 Rev 5 SC-7(3)</w:t>
            </w:r>
          </w:p>
        </w:tc>
      </w:tr>
      <w:tr>
        <w:tc>
          <w:tcPr/>
          <w:p>
            <w:pPr>
              <w:pStyle w:val="Compact"/>
              <w:jc w:val="left"/>
            </w:pPr>
            <w:r>
              <w:rPr>
                <w:bCs/>
                <w:b/>
              </w:rPr>
              <w:t xml:space="preserve">SC-7(5)</w:t>
            </w:r>
          </w:p>
        </w:tc>
        <w:tc>
          <w:tcPr/>
          <w:p>
            <w:pPr>
              <w:pStyle w:val="Compact"/>
              <w:jc w:val="left"/>
            </w:pPr>
            <w:r>
              <w:t xml:space="preserve">Boundary Protection — Deny by Default</w:t>
            </w:r>
          </w:p>
        </w:tc>
        <w:tc>
          <w:tcPr/>
          <w:p>
            <w:pPr>
              <w:pStyle w:val="Compact"/>
              <w:jc w:val="left"/>
            </w:pPr>
            <w:r>
              <w:t xml:space="preserve">Unauthenticated devices receive full network access by VLAN assignment; the default is open</w:t>
            </w:r>
          </w:p>
        </w:tc>
        <w:tc>
          <w:tcPr/>
          <w:p>
            <w:pPr>
              <w:pStyle w:val="Compact"/>
              <w:jc w:val="lef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jc w:val="left"/>
            </w:pPr>
            <w:r>
              <w:t xml:space="preserve">NIST SP 800-53 Rev 5 SC-7(5)</w:t>
            </w:r>
          </w:p>
        </w:tc>
      </w:tr>
      <w:tr>
        <w:tc>
          <w:tcPr/>
          <w:p>
            <w:pPr>
              <w:pStyle w:val="Compact"/>
              <w:jc w:val="left"/>
            </w:pPr>
            <w:r>
              <w:rPr>
                <w:bCs/>
                <w:b/>
              </w:rPr>
              <w:t xml:space="preserve">CM-6</w:t>
            </w:r>
          </w:p>
        </w:tc>
        <w:tc>
          <w:tcPr/>
          <w:p>
            <w:pPr>
              <w:pStyle w:val="Compact"/>
              <w:jc w:val="left"/>
            </w:pPr>
            <w:r>
              <w:t xml:space="preserve">Configuration Settings</w:t>
            </w:r>
          </w:p>
        </w:tc>
        <w:tc>
          <w:tcPr/>
          <w:p>
            <w:pPr>
              <w:pStyle w:val="Compact"/>
              <w:jc w:val="left"/>
            </w:pPr>
            <w:r>
              <w:t xml:space="preserve">Device configuration compliance (patch level, AV, encryption) is assessed by Intune but is not enforced at the network admission layer; a non-compliant device can connect to the production network</w:t>
            </w:r>
          </w:p>
        </w:tc>
        <w:tc>
          <w:tcPr/>
          <w:p>
            <w:pPr>
              <w:pStyle w:val="Compact"/>
              <w:jc w:val="lef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jc w:val="left"/>
            </w:pPr>
            <w:r>
              <w:t xml:space="preserve">NIST SP 800-53 Rev 5 CM-6</w:t>
            </w:r>
          </w:p>
        </w:tc>
      </w:tr>
      <w:tr>
        <w:tc>
          <w:tcPr/>
          <w:p>
            <w:pPr>
              <w:pStyle w:val="Compact"/>
              <w:jc w:val="left"/>
            </w:pPr>
            <w:r>
              <w:rPr>
                <w:bCs/>
                <w:b/>
              </w:rPr>
              <w:t xml:space="preserve">CM-7</w:t>
            </w:r>
          </w:p>
        </w:tc>
        <w:tc>
          <w:tcPr/>
          <w:p>
            <w:pPr>
              <w:pStyle w:val="Compact"/>
              <w:jc w:val="left"/>
            </w:pPr>
            <w:r>
              <w:t xml:space="preserve">Least Functionality</w:t>
            </w:r>
          </w:p>
        </w:tc>
        <w:tc>
          <w:tcPr/>
          <w:p>
            <w:pPr>
              <w:pStyle w:val="Compact"/>
              <w:jc w:val="left"/>
            </w:pPr>
            <w:r>
              <w:t xml:space="preserve">Any device that obtains physical network connectivity receives production VLAN routing; IoT devices and printers have unrestricted lateral movement potential within the VLAN</w:t>
            </w:r>
          </w:p>
        </w:tc>
        <w:tc>
          <w:tcPr/>
          <w:p>
            <w:pPr>
              <w:pStyle w:val="Compact"/>
              <w:jc w:val="lef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jc w:val="left"/>
            </w:pPr>
            <w:r>
              <w:t xml:space="preserve">NIST SP 800-53 Rev 5 CM-7</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Device inventory is maintained in Intune (enrolled managed devices) and SCCM/MEM, but unmanaged devices that connect to the network are not captured in any authoritative inventory</w:t>
            </w:r>
          </w:p>
        </w:tc>
        <w:tc>
          <w:tcPr/>
          <w:p>
            <w:pPr>
              <w:pStyle w:val="Compact"/>
              <w:jc w:val="lef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jc w:val="left"/>
            </w:pPr>
            <w:r>
              <w:t xml:space="preserve">NIST SP 800-53 Rev 5 CM-8</w:t>
            </w:r>
          </w:p>
        </w:tc>
      </w:tr>
    </w:tbl>
    <w:p>
      <w:pPr>
        <w:pStyle w:val="BlockText"/>
      </w:pPr>
      <w:r>
        <w:rPr>
          <w:bCs/>
          <w:b/>
        </w:rPr>
        <w:t xml:space="preserve">Closure Necessity — IA-3 at the point of admission.</w:t>
      </w:r>
      <w:r>
        <w:t xml:space="preserve"> </w:t>
      </w:r>
      <w:r>
        <w:t xml:space="preserve">IA-3 requires the system to uniquely identify and authenticate devices</w:t>
      </w:r>
      <w:r>
        <w:t xml:space="preserve"> </w:t>
      </w:r>
      <w:r>
        <w:rPr>
          <w:iCs/>
          <w:i/>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Cs/>
          <w:b/>
        </w:rPr>
        <w:t xml:space="preserve">Closure Necessity — CM-8 and the enumeration problem.</w:t>
      </w:r>
      <w:r>
        <w:t xml:space="preserve"> </w:t>
      </w:r>
      <w:r>
        <w:t xml:space="preserve">CM-8 requires a component inventory that</w:t>
      </w:r>
      <w:r>
        <w:t xml:space="preserve"> </w:t>
      </w:r>
      <w:r>
        <w:rPr>
          <w:iCs/>
          <w:i/>
        </w:rPr>
        <w:t xml:space="preserve">accurately reflects the system</w:t>
      </w:r>
      <w:r>
        <w:t xml:space="preserve"> </w:t>
      </w:r>
      <w:r>
        <w:t xml:space="preserve">and</w:t>
      </w:r>
      <w:r>
        <w:t xml:space="preserve"> </w:t>
      </w:r>
      <w:r>
        <w:rPr>
          <w:iCs/>
          <w:i/>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Cs/>
          <w:i/>
        </w:rPr>
        <w:t xml:space="preserve">every</w:t>
      </w:r>
      <w:r>
        <w:t xml:space="preserve"> </w:t>
      </w:r>
      <w:r>
        <w:t xml:space="preserve">component and is thus the authoritative CM-8 inventory. You cannot inventory what you cannot enumerate, and no scanner creates a source of truth; it can only measure drift from one.</w:t>
      </w:r>
    </w:p>
    <w:p>
      <w:pPr>
        <w:pStyle w:val="FirstParagraph"/>
      </w:pPr>
      <w:r>
        <w:rPr>
          <w:bCs/>
          <w:b/>
        </w:rPr>
        <w:t xml:space="preserve">FedRAMP 20x Key Security Indicator Alignment</w:t>
      </w:r>
    </w:p>
    <w:p>
      <w:pPr>
        <w:pStyle w:val="BodyText"/>
      </w:pPr>
      <w:r>
        <w:rPr>
          <w:bCs/>
          <w:b/>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Cs/>
          <w:b/>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Cs/>
          <w:b/>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Cs/>
          <w:i/>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bookmarkEnd w:id="83"/>
    <w:bookmarkStart w:id="84" w:name="X25d62fe4d5b3b6a277d70e03f7a7be09e83037f"/>
    <w:p>
      <w:pPr>
        <w:pStyle w:val="Heading1"/>
      </w:pPr>
      <w:r>
        <w:t xml:space="preserve">From Port to Token: the NAC → ZTNA Continuum</w:t>
      </w:r>
    </w:p>
    <w:p>
      <w:pPr>
        <w:pStyle w:val="FirstParagraph"/>
      </w:pPr>
      <w:r>
        <w:t xml:space="preserve">Every admission decision in this document answers the same three questions:</w:t>
      </w:r>
      <w:r>
        <w:t xml:space="preserve"> </w:t>
      </w:r>
      <w:r>
        <w:rPr>
          <w:iCs/>
          <w:i/>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Cs/>
          <w:b/>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Cs/>
          <w:i/>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hyperlink" Id="rId65" Target="Book_01_FedAAN_SSA_Landing_Zone_IPAM_FedRAMP.qmd" TargetMode="External" /><Relationship Type="http://schemas.openxmlformats.org/officeDocument/2006/relationships/hyperlink" Id="rId66"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5" Target="Book_01_FedAAN_SSA_Landing_Zone_IPAM_FedRAMP.qmd" TargetMode="External" /><Relationship Type="http://schemas.openxmlformats.org/officeDocument/2006/relationships/hyperlink" Id="rId66"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2026-07-06T13:13:09Z</dcterms:created>
  <dcterms:modified xsi:type="dcterms:W3CDTF">2026-07-06T13:13:09Z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5,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802.1X, EAP-TLS, and Device Identity Enforcement at the Port — Part 2</vt:lpwstr>
  </property>
</Properties>
</file>