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6.png" ContentType="image/png"/>
  <Override PartName="/word/media/rId45.png" ContentType="image/png"/>
  <Override PartName="/word/media/rId54.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03</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Certificates</w:t>
      </w:r>
      <w:r>
        <w:t xml:space="preserve"> </w:t>
      </w:r>
      <w:r>
        <w:t xml:space="preserve">&amp;</w:t>
      </w:r>
      <w:r>
        <w:t xml:space="preserve"> </w:t>
      </w:r>
      <w:r>
        <w:t xml:space="preserve">Tokens:</w:t>
      </w:r>
      <w:r>
        <w:t xml:space="preserve"> </w:t>
      </w:r>
      <w:r>
        <w:t xml:space="preserve">Cryptographic</w:t>
      </w:r>
      <w:r>
        <w:t xml:space="preserve"> </w:t>
      </w:r>
      <w:r>
        <w:t xml:space="preserve">Identity</w:t>
      </w:r>
    </w:p>
    <w:p>
      <w:pPr>
        <w:pStyle w:val="Subtitle"/>
      </w:pPr>
      <w:r>
        <w:t xml:space="preserve">PKI</w:t>
      </w:r>
      <w:r>
        <w:t xml:space="preserve"> </w:t>
      </w:r>
      <w:r>
        <w:t xml:space="preserve">as</w:t>
      </w:r>
      <w:r>
        <w:t xml:space="preserve"> </w:t>
      </w:r>
      <w:r>
        <w:t xml:space="preserve">a</w:t>
      </w:r>
      <w:r>
        <w:t xml:space="preserve"> </w:t>
      </w:r>
      <w:r>
        <w:t xml:space="preserve">Naming-Plane</w:t>
      </w:r>
      <w:r>
        <w:t xml:space="preserve"> </w:t>
      </w:r>
      <w:r>
        <w:t xml:space="preserve">Function</w:t>
      </w:r>
      <w:r>
        <w:t xml:space="preserve"> </w:t>
      </w:r>
      <w:r>
        <w:t xml:space="preserve">·</w:t>
      </w:r>
      <w:r>
        <w:t xml:space="preserve"> </w:t>
      </w:r>
      <w:r>
        <w:t xml:space="preserve">ACME</w:t>
      </w:r>
      <w:r>
        <w:t xml:space="preserve"> </w:t>
      </w:r>
      <w:r>
        <w:t xml:space="preserve">Lifecycle</w:t>
      </w:r>
      <w:r>
        <w:t xml:space="preserve"> </w:t>
      </w:r>
      <w:r>
        <w:t xml:space="preserve">Automation</w:t>
      </w:r>
      <w:r>
        <w:t xml:space="preserve"> </w:t>
      </w:r>
      <w:r>
        <w:t xml:space="preserve">·</w:t>
      </w:r>
      <w:r>
        <w:t xml:space="preserve"> </w:t>
      </w:r>
      <w:r>
        <w:t xml:space="preserve">OAuth</w:t>
      </w:r>
      <w:r>
        <w:t xml:space="preserve"> </w:t>
      </w:r>
      <w:r>
        <w:t xml:space="preserve">2.0/OIDC</w:t>
      </w:r>
      <w:r>
        <w:t xml:space="preserve"> </w:t>
      </w:r>
      <w:r>
        <w:t xml:space="preserve">·</w:t>
      </w:r>
      <w:r>
        <w:t xml:space="preserve"> </w:t>
      </w:r>
      <w:r>
        <w:t xml:space="preserve">Phishing-Resistant</w:t>
      </w:r>
      <w:r>
        <w:t xml:space="preserve"> </w:t>
      </w:r>
      <w:r>
        <w:t xml:space="preserve">MFA</w:t>
      </w:r>
      <w:r>
        <w:t xml:space="preserve"> </w:t>
      </w:r>
      <w:r>
        <w:t xml:space="preserve">·</w:t>
      </w:r>
      <w:r>
        <w:t xml:space="preserve"> </w:t>
      </w:r>
      <w:r>
        <w:t xml:space="preserve">Workload</w:t>
      </w:r>
      <w:r>
        <w:t xml:space="preserve"> </w:t>
      </w:r>
      <w:r>
        <w:t xml:space="preserve">Identity</w:t>
      </w:r>
    </w:p>
    <w:p>
      <w:pPr>
        <w:pStyle w:val="Author"/>
      </w:pPr>
      <w:r>
        <w:t xml:space="preserve">Federal</w:t>
      </w:r>
      <w:r>
        <w:t xml:space="preserve"> </w:t>
      </w:r>
      <w:r>
        <w:t xml:space="preserve">Cloud</w:t>
      </w:r>
      <w:r>
        <w:t xml:space="preserve"> </w:t>
      </w:r>
      <w:r>
        <w:t xml:space="preserve">Services</w:t>
      </w:r>
    </w:p>
    <w:p>
      <w:pPr>
        <w:pStyle w:val="Date"/>
      </w:pPr>
      <w:r>
        <w:t xml:space="preserve">2026-07-06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3 of the 19-part Federal Application-Aware Networking series.</w:t>
      </w:r>
      <w:r>
        <w:t xml:space="preserve"> </w:t>
      </w:r>
      <w:hyperlink r:id="rId21">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22">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23">
        <w:r>
          <w:rPr>
            <w:rStyle w:val="Hyperlink"/>
          </w:rPr>
          <w:t xml:space="preserve">Books 07</w:t>
        </w:r>
      </w:hyperlink>
      <w:r>
        <w:t xml:space="preserve"> </w:t>
      </w:r>
      <w:r>
        <w:t xml:space="preserve">and</w:t>
      </w:r>
      <w:r>
        <w:t xml:space="preserve"> </w:t>
      </w:r>
      <w:hyperlink r:id="rId24">
        <w:r>
          <w:rPr>
            <w:rStyle w:val="Hyperlink"/>
          </w:rPr>
          <w:t xml:space="preserve">08</w:t>
        </w:r>
      </w:hyperlink>
      <w:r>
        <w:t xml:space="preserve"> </w:t>
      </w:r>
      <w:r>
        <w:t xml:space="preserve">— SQL Server authentication modernization — are direct applications of the doctrine this part establishes.</w:t>
      </w:r>
    </w:p>
    <w:p>
      <w:pPr>
        <w:pStyle w:val="BodyText"/>
      </w:pPr>
      <w:r>
        <w:rPr>
          <w:bCs/>
          <w:b/>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a continuous session, a stable path. The transport modernization your agency is executing (SD-WAN multipath, direct internet access under TIC 3.0, multi-cloud landing zones) removes every one of those assumptions</w:t>
      </w:r>
      <w:r>
        <w:t xml:space="preserve"> </w:t>
      </w:r>
      <w:r>
        <w:rPr>
          <w:iCs/>
          <w:i/>
        </w:rPr>
        <w:t xml:space="preserve">on purpose</w:t>
      </w:r>
      <w:r>
        <w:t xml:space="preserve">, because removing them is what makes the network fast and resilient.</w:t>
      </w:r>
    </w:p>
    <w:p>
      <w:pPr>
        <w:pStyle w:val="BodyText"/>
      </w:pPr>
      <w:r>
        <w:rPr>
          <w:bCs/>
          <w:b/>
        </w:rPr>
        <w:t xml:space="preserve">Four things this document establishes:</w:t>
      </w:r>
    </w:p>
    <w:p>
      <w:pPr>
        <w:numPr>
          <w:ilvl w:val="0"/>
          <w:numId w:val="1001"/>
        </w:numPr>
      </w:pPr>
      <w:r>
        <w:rPr>
          <w:bCs/>
          <w:b/>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Cs/>
          <w:b/>
        </w:rPr>
        <w:t xml:space="preserve">Certificates are a naming-plane function, not a parallel bureaucracy.</w:t>
      </w:r>
      <w:r>
        <w:t xml:space="preserve"> </w:t>
      </w:r>
      <w:r>
        <w:t xml:space="preserve">Which authorities may issue for your names is published and enforced</w:t>
      </w:r>
      <w:r>
        <w:t xml:space="preserve"> </w:t>
      </w:r>
      <w:r>
        <w:rPr>
          <w:iCs/>
          <w:i/>
        </w:rPr>
        <w:t xml:space="preserve">in DNS</w:t>
      </w:r>
      <w:r>
        <w:t xml:space="preserve"> </w:t>
      </w:r>
      <w:r>
        <w:t xml:space="preserve">(CAA records); automated issuance proves control of a name</w:t>
      </w:r>
      <w:r>
        <w:t xml:space="preserve"> </w:t>
      </w:r>
      <w:r>
        <w:rPr>
          <w:iCs/>
          <w:i/>
        </w:rPr>
        <w:t xml:space="preserve">through DNS</w:t>
      </w:r>
      <w:r>
        <w:t xml:space="preserve"> </w:t>
      </w:r>
      <w:r>
        <w:t xml:space="preserve">(ACME DNS-01); revocation checking</w:t>
      </w:r>
      <w:r>
        <w:t xml:space="preserve"> </w:t>
      </w:r>
      <w:r>
        <w:rPr>
          <w:iCs/>
          <w:i/>
        </w:rPr>
        <w:t xml:space="preserve">resolves through DNS</w:t>
      </w:r>
      <w:r>
        <w:t xml:space="preserve">. The authoritative DDI platform built in Book 01 is the issuance gate. Certificate operations belong to the same functional plane.</w:t>
      </w:r>
    </w:p>
    <w:p>
      <w:pPr>
        <w:numPr>
          <w:ilvl w:val="0"/>
          <w:numId w:val="1001"/>
        </w:numPr>
      </w:pPr>
      <w:r>
        <w:rPr>
          <w:bCs/>
          <w:b/>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Cs/>
          <w:b/>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5" w:name="what-this-document-addresses"/>
    <w:p>
      <w:pPr>
        <w:pStyle w:val="Heading1"/>
      </w:pPr>
      <w:r>
        <w:t xml:space="preserve">What This Document Addresses</w:t>
      </w:r>
    </w:p>
    <w:p>
      <w:pPr>
        <w:pStyle w:val="FirstParagraph"/>
      </w:pPr>
      <w:r>
        <w:t xml:space="preserve">Every book in this series ultimately depends on one substitution:</w:t>
      </w:r>
      <w:r>
        <w:t xml:space="preserve"> </w:t>
      </w:r>
      <w:r>
        <w:rPr>
          <w:bCs/>
          <w:b/>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Cs/>
          <w:b/>
        </w:rPr>
        <w:t xml:space="preserve">no closure path that does not run through this architecture</w:t>
      </w:r>
      <w:r>
        <w:t xml:space="preserve">.</w:t>
      </w:r>
    </w:p>
    <w:p>
      <w:pPr>
        <w:pStyle w:val="BodyText"/>
      </w:pPr>
      <w:r>
        <w:t xml:space="preserve">The argument proceeds in five movements:</w:t>
      </w:r>
    </w:p>
    <w:p>
      <w:pPr>
        <w:numPr>
          <w:ilvl w:val="0"/>
          <w:numId w:val="1002"/>
        </w:numPr>
        <w:pStyle w:val="Compact"/>
      </w:pPr>
      <w:r>
        <w:rPr>
          <w:bCs/>
          <w:b/>
        </w:rPr>
        <w:t xml:space="preserve">Why session-based, location-bound authentication died.</w:t>
      </w:r>
      <w:r>
        <w:t xml:space="preserve"> </w:t>
      </w:r>
      <w:r>
        <w:t xml:space="preserve">Kerberos binds identity to a network session; SD-WAN active-active multipath structurally eliminates the stable session the ticket assumes. This is not a tuning problem — it is a protocol-versus-transport contradiction.</w:t>
      </w:r>
    </w:p>
    <w:p>
      <w:pPr>
        <w:numPr>
          <w:ilvl w:val="0"/>
          <w:numId w:val="1002"/>
        </w:numPr>
        <w:pStyle w:val="Compact"/>
      </w:pPr>
      <w:r>
        <w:rPr>
          <w:bCs/>
          <w:b/>
        </w:rPr>
        <w:t xml:space="preserve">PKI is a naming-plane function.</w:t>
      </w:r>
      <w:r>
        <w:t xml:space="preserve"> </w:t>
      </w:r>
      <w:r>
        <w:t xml:space="preserve">Certificate issuance, revocation checking, and DNS are one substrate. CAA records put issuance policy</w:t>
      </w:r>
      <w:r>
        <w:t xml:space="preserve"> </w:t>
      </w:r>
      <w:r>
        <w:rPr>
          <w:iCs/>
          <w:i/>
        </w:rPr>
        <w:t xml:space="preserve">in</w:t>
      </w:r>
      <w:r>
        <w:t xml:space="preserve"> </w:t>
      </w:r>
      <w:r>
        <w:t xml:space="preserve">DNS; ACME DNS-01 challenges make the authoritative zone the issuance gate; CRL/OCSP reachability is a DNS resolution dependency.</w:t>
      </w:r>
    </w:p>
    <w:p>
      <w:pPr>
        <w:numPr>
          <w:ilvl w:val="0"/>
          <w:numId w:val="1002"/>
        </w:numPr>
        <w:pStyle w:val="Compact"/>
      </w:pPr>
      <w:r>
        <w:rPr>
          <w:bCs/>
          <w:b/>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numPr>
          <w:ilvl w:val="0"/>
          <w:numId w:val="1002"/>
        </w:numPr>
        <w:pStyle w:val="Compact"/>
      </w:pPr>
      <w:r>
        <w:rPr>
          <w:bCs/>
          <w:b/>
        </w:rPr>
        <w:t xml:space="preserve">Token-based identity.</w:t>
      </w:r>
      <w:r>
        <w:t xml:space="preserve"> </w:t>
      </w:r>
      <w:r>
        <w:t xml:space="preserve">OAuth 2.0/OIDC, certificate-based authentication, and phishing-resistant MFA — the BOD 25-01 and OMB M-22-09 alignment layer.</w:t>
      </w:r>
    </w:p>
    <w:p>
      <w:pPr>
        <w:numPr>
          <w:ilvl w:val="0"/>
          <w:numId w:val="1002"/>
        </w:numPr>
        <w:pStyle w:val="Compact"/>
      </w:pPr>
      <w:r>
        <w:rPr>
          <w:bCs/>
          <w:b/>
        </w:rPr>
        <w:t xml:space="preserve">Machine and workload identity.</w:t>
      </w:r>
      <w:r>
        <w:t xml:space="preserve"> </w:t>
      </w:r>
      <w:r>
        <w:t xml:space="preserve">Service principals, managed identities, and workload identity federation — the elimination of stored secrets from the non-human identity estate.</w:t>
      </w:r>
    </w:p>
    <w:p>
      <w:pPr>
        <w:pStyle w:val="FirstParagraph"/>
      </w:pPr>
      <w:r>
        <w:rPr>
          <w:bCs/>
          <w:b/>
        </w:rPr>
        <w:t xml:space="preserve">Where this sits in the Functional Plane Model</w:t>
      </w:r>
      <w:r>
        <w:t xml:space="preserve"> </w:t>
      </w:r>
      <w:r>
        <w:t xml:space="preserve">— Certificates and tokens are</w:t>
      </w:r>
      <w:r>
        <w:t xml:space="preserve"> </w:t>
      </w:r>
      <w:r>
        <w:rPr>
          <w:bCs/>
          <w:b/>
        </w:rPr>
        <w:t xml:space="preserve">identity-plane truth</w:t>
      </w:r>
      <w:r>
        <w:t xml:space="preserve">. The policy enforcement plane (conditional access, ZTNA, SASE PEPs)</w:t>
      </w:r>
      <w:r>
        <w:t xml:space="preserve"> </w:t>
      </w:r>
      <w:r>
        <w:rPr>
          <w:iCs/>
          <w:i/>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pPr>
        <w:pStyle w:val="BodyText"/>
      </w:pPr>
      <w:r>
        <w:rPr>
          <w:bCs/>
          <w:b/>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Cs/>
          <w:i/>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bookmarkEnd w:id="25"/>
    <w:bookmarkStart w:id="35" w:name="Xc921039c84f515ae1a42fc6df48e74b7fc4a8d9"/>
    <w:p>
      <w:pPr>
        <w:pStyle w:val="Heading1"/>
      </w:pPr>
      <w:r>
        <w:t xml:space="preserve">The Death of Session-Based, Location-Bound Authentication</w:t>
      </w:r>
    </w:p>
    <w:bookmarkStart w:id="27" w:name="the-three-bindings-kerberos-makes"/>
    <w:p>
      <w:pPr>
        <w:pStyle w:val="Heading2"/>
      </w:pPr>
      <w:r>
        <w:t xml:space="preserve">The Three Bindings Kerberos Makes</w:t>
      </w:r>
    </w:p>
    <w:p>
      <w:pPr>
        <w:pStyle w:val="FirstParagraph"/>
      </w:pPr>
      <w:r>
        <w:t xml:space="preserve">Kerberos (RFC 4120) was engineered for a network that no longer exists, and its engineering was excellent</w:t>
      </w:r>
      <w:r>
        <w:t xml:space="preserve"> </w:t>
      </w:r>
      <w:r>
        <w:rPr>
          <w:iCs/>
          <w:i/>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 {.striped .hover}</w:t>
      </w:r>
    </w:p>
    <w:tbl>
      <w:tblPr>
        <w:tblStyle w:val="Table"/>
        <w:tblW w:type="pct" w:w="5000"/>
        <w:tblLook w:firstRow="1" w:lastRow="0" w:firstColumn="0" w:lastColumn="0" w:noHBand="0" w:noVBand="0" w:val="0020"/>
        <w:jc w:val="start"/>
        <w:tblCaption w:val="The three bindings of session-based authentication and their fate on modern transport {.striped .hover}"/>
      </w:tblPr>
      <w:tblGrid>
        <w:gridCol w:w="2640"/>
        <w:gridCol w:w="2640"/>
        <w:gridCol w:w="2640"/>
      </w:tblGrid>
      <w:tr>
        <w:trPr>
          <w:tblHeader w:val="true"/>
        </w:trPr>
        <w:tc>
          <w:tcPr/>
          <w:p>
            <w:pPr>
              <w:pStyle w:val="Compact"/>
              <w:jc w:val="left"/>
            </w:pPr>
            <w:r>
              <w:t xml:space="preserve">Binding</w:t>
            </w:r>
          </w:p>
        </w:tc>
        <w:tc>
          <w:tcPr/>
          <w:p>
            <w:pPr>
              <w:pStyle w:val="Compact"/>
              <w:jc w:val="left"/>
            </w:pPr>
            <w:r>
              <w:t xml:space="preserve">What Kerberos Assumes</w:t>
            </w:r>
          </w:p>
        </w:tc>
        <w:tc>
          <w:tcPr/>
          <w:p>
            <w:pPr>
              <w:pStyle w:val="Compact"/>
              <w:jc w:val="left"/>
            </w:pPr>
            <w:r>
              <w:t xml:space="preserve">What the Modern Transport Provides</w:t>
            </w:r>
          </w:p>
        </w:tc>
      </w:tr>
      <w:tr>
        <w:tc>
          <w:tcPr/>
          <w:p>
            <w:pPr>
              <w:pStyle w:val="Compact"/>
              <w:jc w:val="left"/>
            </w:pPr>
            <w:r>
              <w:rPr>
                <w:bCs/>
                <w:b/>
              </w:rPr>
              <w:t xml:space="preserve">Session binding</w:t>
            </w:r>
          </w:p>
        </w:tc>
        <w:tc>
          <w:tcPr/>
          <w:p>
            <w:pPr>
              <w:pStyle w:val="Compact"/>
              <w:jc w:val="left"/>
            </w:pPr>
            <w:r>
              <w:t xml:space="preserve">The authenticated exchange rides one stateful, continuous connection between client and service</w:t>
            </w:r>
          </w:p>
        </w:tc>
        <w:tc>
          <w:tcPr/>
          <w:p>
            <w:pPr>
              <w:pStyle w:val="Compact"/>
              <w:jc w:val="left"/>
            </w:pPr>
            <w:r>
              <w:t xml:space="preserve">SD-WAN active-active multipath distributes packets of a single conversation across multiple simultaneous physical paths; inline inspection, NAT, and re-encryption interrupt session state by design</w:t>
            </w:r>
          </w:p>
        </w:tc>
      </w:tr>
      <w:tr>
        <w:tc>
          <w:tcPr/>
          <w:p>
            <w:pPr>
              <w:pStyle w:val="Compact"/>
              <w:jc w:val="left"/>
            </w:pPr>
            <w:r>
              <w:rPr>
                <w:bCs/>
                <w:b/>
              </w:rPr>
              <w:t xml:space="preserve">Location binding</w:t>
            </w:r>
          </w:p>
        </w:tc>
        <w:tc>
          <w:tcPr/>
          <w:p>
            <w:pPr>
              <w:pStyle w:val="Compact"/>
              <w:jc w:val="left"/>
            </w:pPr>
            <w:r>
              <w:t xml:space="preserve">A domain controller is reachable within sub-5 ms round-trip; the client and the KDC share a network</w:t>
            </w:r>
          </w:p>
        </w:tc>
        <w:tc>
          <w:tcPr/>
          <w:p>
            <w:pPr>
              <w:pStyle w:val="Compact"/>
              <w:jc w:val="left"/>
            </w:pPr>
            <w:r>
              <w:t xml:space="preserve">Workloads span on-premises virtualization, two hyperscale government clouds, and an externally managed tenancy; the KDC is co-located with none of them</w:t>
            </w:r>
          </w:p>
        </w:tc>
      </w:tr>
      <w:tr>
        <w:tc>
          <w:tcPr/>
          <w:p>
            <w:pPr>
              <w:pStyle w:val="Compact"/>
              <w:jc w:val="left"/>
            </w:pPr>
            <w:r>
              <w:rPr>
                <w:bCs/>
                <w:b/>
              </w:rPr>
              <w:t xml:space="preserve">Time binding</w:t>
            </w:r>
          </w:p>
        </w:tc>
        <w:tc>
          <w:tcPr/>
          <w:p>
            <w:pPr>
              <w:pStyle w:val="Compact"/>
              <w:jc w:val="left"/>
            </w:pPr>
            <w:r>
              <w:t xml:space="preserve">Client and KDC clocks agree within five minutes</w:t>
            </w:r>
          </w:p>
        </w:tc>
        <w:tc>
          <w:tcPr/>
          <w:p>
            <w:pPr>
              <w:pStyle w:val="Compact"/>
              <w:jc w:val="left"/>
            </w:pPr>
            <w:r>
              <w:t xml:space="preserve">The only binding that survives — NTP disciplining is solvable everywhere</w:t>
            </w:r>
          </w:p>
        </w:tc>
      </w:tr>
    </w:tbl>
    <w:p>
      <w:pPr>
        <w:pStyle w:val="BodyText"/>
      </w:pPr>
      <w:r>
        <w:t xml:space="preserve">Two of the three bindings are broken by the very technologies the rest of this series requires. That is the structural point:</w:t>
      </w:r>
      <w:r>
        <w:t xml:space="preserve"> </w:t>
      </w:r>
      <w:r>
        <w:rPr>
          <w:bCs/>
          <w:b/>
        </w:rPr>
        <w:t xml:space="preserve">the transport modernization mandated by TIC 3.0 and demonstrated in</w:t>
      </w:r>
      <w:r>
        <w:rPr>
          <w:bCs/>
          <w:b/>
        </w:rPr>
        <w:t xml:space="preserve"> </w:t>
      </w:r>
      <w:hyperlink r:id="rId26">
        <w:r>
          <w:rPr>
            <w:rStyle w:val="Hyperlink"/>
            <w:bCs/>
            <w:b/>
          </w:rPr>
          <w:t xml:space="preserve">Book 05</w:t>
        </w:r>
      </w:hyperlink>
      <w:r>
        <w:rPr>
          <w:bCs/>
          <w:b/>
        </w:rPr>
        <w:t xml:space="preserve"> </w:t>
      </w:r>
      <w:r>
        <w:rPr>
          <w:bCs/>
          <w:b/>
        </w:rPr>
        <w:t xml:space="preserve">is incompatible with the authentication model most federal application estates still run.</w:t>
      </w:r>
      <w:r>
        <w:t xml:space="preserve"> </w:t>
      </w:r>
      <w:r>
        <w:t xml:space="preserve">You cannot keep both.</w:t>
      </w:r>
    </w:p>
    <w:bookmarkEnd w:id="27"/>
    <w:bookmarkStart w:id="31" w:name="X5716ceb934c46d0ddf6c7e950446c3049c94a27"/>
    <w:p>
      <w:pPr>
        <w:pStyle w:val="Heading2"/>
      </w:pPr>
      <w:r>
        <w:t xml:space="preserve">What Multipath Does to a Session-Bound Ticket</w:t>
      </w:r>
    </w:p>
    <w:p>
      <w:pPr>
        <w:pStyle w:val="FirstParagraph"/>
      </w:pPr>
      <w:hyperlink r:id="rId26">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the multipath analysis showing why SD-WAN finishes the job. The load-bearing facts, restated:</w:t>
      </w:r>
    </w:p>
    <w:p>
      <w:pPr>
        <w:numPr>
          <w:ilvl w:val="0"/>
          <w:numId w:val="1003"/>
        </w:numPr>
        <w:pStyle w:val="Compact"/>
      </w:pPr>
      <w:r>
        <w:t xml:space="preserve">Under</w:t>
      </w:r>
      <w:r>
        <w:t xml:space="preserve"> </w:t>
      </w:r>
      <w:r>
        <w:rPr>
          <w:bCs/>
          <w:b/>
        </w:rPr>
        <w:t xml:space="preserve">active-passive failover</w:t>
      </w:r>
      <w:r>
        <w:t xml:space="preserve">, a Kerberos exchange that is mid-flight when a path fails times out over several seconds — the</w:t>
      </w:r>
      <w:r>
        <w:t xml:space="preserve"> </w:t>
      </w:r>
      <w:r>
        <w:t xml:space="preserve">“</w:t>
      </w:r>
      <w:r>
        <w:t xml:space="preserve">logon takes 45 seconds</w:t>
      </w:r>
      <w:r>
        <w:t xml:space="preserve">”</w:t>
      </w:r>
      <w:r>
        <w:t xml:space="preserve"> </w:t>
      </w:r>
      <w:r>
        <w:t xml:space="preserve">symptom field offices report.</w:t>
      </w:r>
    </w:p>
    <w:p>
      <w:pPr>
        <w:numPr>
          <w:ilvl w:val="0"/>
          <w:numId w:val="1003"/>
        </w:numPr>
        <w:pStyle w:val="Compact"/>
      </w:pPr>
      <w:r>
        <w:t xml:space="preserve">Under</w:t>
      </w:r>
      <w:r>
        <w:t xml:space="preserve"> </w:t>
      </w:r>
      <w:r>
        <w:rPr>
          <w:bCs/>
          <w:b/>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Cs/>
          <w:i/>
        </w:rPr>
        <w:t xml:space="preserve">transport</w:t>
      </w:r>
      <w:r>
        <w:t xml:space="preserve"> </w:t>
      </w:r>
      <w:r>
        <w:t xml:space="preserve">problem is solved.</w:t>
      </w:r>
    </w:p>
    <w:p>
      <w:pPr>
        <w:numPr>
          <w:ilvl w:val="0"/>
          <w:numId w:val="1003"/>
        </w:numPr>
        <w:pStyle w:val="Compact"/>
      </w:pPr>
      <w:r>
        <w:t xml:space="preserve">But the authentication contract is not. A protocol that binds its proof of identity to the continuity of a network session inherits every discontinuity the session suffers — every NAT rebind, every inline decrypt/re-encrypt, every stateful device that sees only half a flow. Token-based authentication survives all of these, because the proof travels</w:t>
      </w:r>
      <w:r>
        <w:t xml:space="preserve"> </w:t>
      </w:r>
      <w:r>
        <w:rPr>
          <w:iCs/>
          <w:i/>
        </w:rPr>
        <w:t xml:space="preserve">in the credential</w:t>
      </w:r>
      <w:r>
        <w:t xml:space="preserve">, not in the connection.</w:t>
      </w:r>
    </w:p>
    <w:p>
      <w:pPr>
        <w:pStyle w:val="CaptionedFigure"/>
      </w:pPr>
      <w:r>
        <w:drawing>
          <wp:inline>
            <wp:extent cx="5334000" cy="3000375"/>
            <wp:effectExtent b="0" l="0" r="0" t="0"/>
            <wp:docPr descr="Session-bound versus credential-bound identity under SD-WAN multipath" title="" id="29" name="Picture"/>
            <a:graphic>
              <a:graphicData uri="http://schemas.openxmlformats.org/drawingml/2006/picture">
                <pic:pic>
                  <pic:nvPicPr>
                    <pic:cNvPr descr="figs/ct-fig-01-session-vs-credential.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Session-bound versus credential-bound identity under SD-WAN multipath</w:t>
      </w:r>
    </w:p>
    <w:bookmarkEnd w:id="31"/>
    <w:bookmarkStart w:id="32" w:name="the-fallback-nobody-chose"/>
    <w:p>
      <w:pPr>
        <w:pStyle w:val="Heading2"/>
      </w:pPr>
      <w:r>
        <w:t xml:space="preserve">The Fallback Nobody Chose</w:t>
      </w:r>
    </w:p>
    <w:p>
      <w:pPr>
        <w:pStyle w:val="FirstParagraph"/>
      </w:pPr>
      <w:r>
        <w:t xml:space="preserve">When Kerberos cannot complete — unreachable KDC, missing SPN, clock skew — Windows does not fail closed. It falls back to NTLM.</w:t>
      </w:r>
      <w:r>
        <w:t xml:space="preserve"> </w:t>
      </w:r>
      <w:hyperlink r:id="rId23">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Cs/>
          <w:b/>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32"/>
    <w:bookmarkStart w:id="33" w:name="the-property-table"/>
    <w:p>
      <w:pPr>
        <w:pStyle w:val="Heading2"/>
      </w:pPr>
      <w:r>
        <w:t xml:space="preserve">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 {.striped .hover}</w:t>
      </w:r>
    </w:p>
    <w:tbl>
      <w:tblPr>
        <w:tblStyle w:val="Table"/>
        <w:tblW w:type="pct" w:w="5000"/>
        <w:tblLook w:firstRow="1" w:lastRow="0" w:firstColumn="0" w:lastColumn="0" w:noHBand="0" w:noVBand="0" w:val="0020"/>
        <w:jc w:val="start"/>
        <w:tblCaption w:val="Session-based versus credential-based identity as protocol properties {.striped .hover}"/>
      </w:tblPr>
      <w:tblGrid>
        <w:gridCol w:w="2640"/>
        <w:gridCol w:w="2640"/>
        <w:gridCol w:w="2640"/>
      </w:tblGrid>
      <w:tr>
        <w:trPr>
          <w:tblHeader w:val="true"/>
        </w:trPr>
        <w:tc>
          <w:tcPr/>
          <w:p>
            <w:pPr>
              <w:pStyle w:val="Compact"/>
              <w:jc w:val="left"/>
            </w:pPr>
            <w:r>
              <w:t xml:space="preserve">Property</w:t>
            </w:r>
          </w:p>
        </w:tc>
        <w:tc>
          <w:tcPr/>
          <w:p>
            <w:pPr>
              <w:pStyle w:val="Compact"/>
              <w:jc w:val="left"/>
            </w:pPr>
            <w:r>
              <w:t xml:space="preserve">Session-Based (Kerberos/NTLM)</w:t>
            </w:r>
          </w:p>
        </w:tc>
        <w:tc>
          <w:tcPr/>
          <w:p>
            <w:pPr>
              <w:pStyle w:val="Compact"/>
              <w:jc w:val="left"/>
            </w:pPr>
            <w:r>
              <w:t xml:space="preserve">Credential-Based (X.509 / OAuth 2.0 / OIDC)</w:t>
            </w:r>
          </w:p>
        </w:tc>
      </w:tr>
      <w:tr>
        <w:tc>
          <w:tcPr/>
          <w:p>
            <w:pPr>
              <w:pStyle w:val="Compact"/>
              <w:jc w:val="left"/>
            </w:pPr>
            <w:r>
              <w:t xml:space="preserve">Proof of identity lives in</w:t>
            </w:r>
          </w:p>
        </w:tc>
        <w:tc>
          <w:tcPr/>
          <w:p>
            <w:pPr>
              <w:pStyle w:val="Compact"/>
              <w:jc w:val="left"/>
            </w:pPr>
            <w:r>
              <w:t xml:space="preserve">The authenticated network session</w:t>
            </w:r>
          </w:p>
        </w:tc>
        <w:tc>
          <w:tcPr/>
          <w:p>
            <w:pPr>
              <w:pStyle w:val="Compact"/>
              <w:jc w:val="left"/>
            </w:pPr>
            <w:r>
              <w:t xml:space="preserve">The signed credential itself</w:t>
            </w:r>
          </w:p>
        </w:tc>
      </w:tr>
      <w:tr>
        <w:tc>
          <w:tcPr/>
          <w:p>
            <w:pPr>
              <w:pStyle w:val="Compact"/>
              <w:jc w:val="left"/>
            </w:pPr>
            <w:r>
              <w:t xml:space="preserve">Verification requires</w:t>
            </w:r>
          </w:p>
        </w:tc>
        <w:tc>
          <w:tcPr/>
          <w:p>
            <w:pPr>
              <w:pStyle w:val="Compact"/>
              <w:jc w:val="left"/>
            </w:pPr>
            <w:r>
              <w:t xml:space="preserve">Reachable KDC / domain controller callback</w:t>
            </w:r>
          </w:p>
        </w:tc>
        <w:tc>
          <w:tcPr/>
          <w:p>
            <w:pPr>
              <w:pStyle w:val="Compact"/>
              <w:jc w:val="left"/>
            </w:pPr>
            <w:r>
              <w:t xml:space="preserve">Local signature check against published trust anchors and keys</w:t>
            </w:r>
          </w:p>
        </w:tc>
      </w:tr>
      <w:tr>
        <w:tc>
          <w:tcPr/>
          <w:p>
            <w:pPr>
              <w:pStyle w:val="Compact"/>
              <w:jc w:val="left"/>
            </w:pPr>
            <w:r>
              <w:t xml:space="preserve">Survives path switch / NAT rebind</w:t>
            </w:r>
          </w:p>
        </w:tc>
        <w:tc>
          <w:tcPr/>
          <w:p>
            <w:pPr>
              <w:pStyle w:val="Compact"/>
              <w:jc w:val="left"/>
            </w:pPr>
            <w:r>
              <w:t xml:space="preserve">No — session state interrupted</w:t>
            </w:r>
          </w:p>
        </w:tc>
        <w:tc>
          <w:tcPr/>
          <w:p>
            <w:pPr>
              <w:pStyle w:val="Compact"/>
              <w:jc w:val="left"/>
            </w:pPr>
            <w:r>
              <w:t xml:space="preserve">Yes — nothing about validity references the path</w:t>
            </w:r>
          </w:p>
        </w:tc>
      </w:tr>
      <w:tr>
        <w:tc>
          <w:tcPr/>
          <w:p>
            <w:pPr>
              <w:pStyle w:val="Compact"/>
              <w:jc w:val="left"/>
            </w:pPr>
            <w:r>
              <w:t xml:space="preserve">Survives inline decrypt/re-encrypt</w:t>
            </w:r>
          </w:p>
        </w:tc>
        <w:tc>
          <w:tcPr/>
          <w:p>
            <w:pPr>
              <w:pStyle w:val="Compact"/>
              <w:jc w:val="left"/>
            </w:pPr>
            <w:r>
              <w:t xml:space="preserve">No — the middlebox is a session break</w:t>
            </w:r>
          </w:p>
        </w:tc>
        <w:tc>
          <w:tcPr/>
          <w:p>
            <w:pPr>
              <w:pStyle w:val="Compact"/>
              <w:jc w:val="left"/>
            </w:pPr>
            <w:r>
              <w:t xml:space="preserve">Yes — the assertion is opaque to the path</w:t>
            </w:r>
          </w:p>
        </w:tc>
      </w:tr>
      <w:tr>
        <w:tc>
          <w:tcPr/>
          <w:p>
            <w:pPr>
              <w:pStyle w:val="Compact"/>
              <w:jc w:val="left"/>
            </w:pPr>
            <w:r>
              <w:t xml:space="preserve">Works across boundaries the agency does not control</w:t>
            </w:r>
          </w:p>
        </w:tc>
        <w:tc>
          <w:tcPr/>
          <w:p>
            <w:pPr>
              <w:pStyle w:val="Compact"/>
              <w:jc w:val="left"/>
            </w:pPr>
            <w:r>
              <w:t xml:space="preserve">No — requires domain reachability</w:t>
            </w:r>
          </w:p>
        </w:tc>
        <w:tc>
          <w:tcPr/>
          <w:p>
            <w:pPr>
              <w:pStyle w:val="Compact"/>
              <w:jc w:val="left"/>
            </w:pPr>
            <w:r>
              <w:t xml:space="preserve">Yes — requires only the issuer’s published keys</w:t>
            </w:r>
          </w:p>
        </w:tc>
      </w:tr>
      <w:tr>
        <w:tc>
          <w:tcPr/>
          <w:p>
            <w:pPr>
              <w:pStyle w:val="Compact"/>
              <w:jc w:val="left"/>
            </w:pPr>
            <w:r>
              <w:t xml:space="preserve">Failure mode</w:t>
            </w:r>
          </w:p>
        </w:tc>
        <w:tc>
          <w:tcPr/>
          <w:p>
            <w:pPr>
              <w:pStyle w:val="Compact"/>
              <w:jc w:val="left"/>
            </w:pPr>
            <w:r>
              <w:t xml:space="preserve">Silent fallback to a weaker protocol (NTLM)</w:t>
            </w:r>
          </w:p>
        </w:tc>
        <w:tc>
          <w:tcPr/>
          <w:p>
            <w:pPr>
              <w:pStyle w:val="Compact"/>
              <w:jc w:val="left"/>
            </w:pPr>
            <w:r>
              <w:t xml:space="preserve">Explicit denial at the policy gate</w:t>
            </w:r>
          </w:p>
        </w:tc>
      </w:tr>
      <w:tr>
        <w:tc>
          <w:tcPr/>
          <w:p>
            <w:pPr>
              <w:pStyle w:val="Compact"/>
              <w:jc w:val="left"/>
            </w:pPr>
            <w:r>
              <w:t xml:space="preserve">Policy evaluation point</w:t>
            </w:r>
          </w:p>
        </w:tc>
        <w:tc>
          <w:tcPr/>
          <w:p>
            <w:pPr>
              <w:pStyle w:val="Compact"/>
              <w:jc w:val="left"/>
            </w:pPr>
            <w:r>
              <w:t xml:space="preserve">At initial ticket grant, then inert</w:t>
            </w:r>
          </w:p>
        </w:tc>
        <w:tc>
          <w:tcPr/>
          <w:p>
            <w:pPr>
              <w:pStyle w:val="Compact"/>
              <w:jc w:val="left"/>
            </w:pPr>
            <w:r>
              <w:t xml:space="preserve">At every issuance and every refresh-token redemption</w:t>
            </w:r>
          </w:p>
        </w:tc>
      </w:tr>
      <w:tr>
        <w:tc>
          <w:tcPr/>
          <w:p>
            <w:pPr>
              <w:pStyle w:val="Compact"/>
              <w:jc w:val="left"/>
            </w:pPr>
            <w:r>
              <w:t xml:space="preserve">Audit granularity</w:t>
            </w:r>
          </w:p>
        </w:tc>
        <w:tc>
          <w:tcPr/>
          <w:p>
            <w:pPr>
              <w:pStyle w:val="Compact"/>
              <w:jc w:val="left"/>
            </w:pPr>
            <w:r>
              <w:t xml:space="preserve">Logon events without cryptographic binding</w:t>
            </w:r>
          </w:p>
        </w:tc>
        <w:tc>
          <w:tcPr/>
          <w:p>
            <w:pPr>
              <w:pStyle w:val="Compact"/>
              <w:jc w:val="left"/>
            </w:pPr>
            <w:r>
              <w:t xml:space="preserve">Per-token, per-scope, per-device structured events</w:t>
            </w:r>
          </w:p>
        </w:tc>
      </w:tr>
      <w:tr>
        <w:tc>
          <w:tcPr/>
          <w:p>
            <w:pPr>
              <w:pStyle w:val="Compact"/>
              <w:jc w:val="left"/>
            </w:pPr>
            <w:r>
              <w:t xml:space="preserve">Latency dependency</w:t>
            </w:r>
          </w:p>
        </w:tc>
        <w:tc>
          <w:tcPr/>
          <w:p>
            <w:pPr>
              <w:pStyle w:val="Compact"/>
              <w:jc w:val="left"/>
            </w:pPr>
            <w:r>
              <w:t xml:space="preserve">Sub-5 ms round-trip assumption to the KDC</w:t>
            </w:r>
          </w:p>
        </w:tc>
        <w:tc>
          <w:tcPr/>
          <w:p>
            <w:pPr>
              <w:pStyle w:val="Compact"/>
              <w:jc w:val="left"/>
            </w:pPr>
            <w:r>
              <w:t xml:space="preserve">None beyond the request itself</w:t>
            </w:r>
          </w:p>
        </w:tc>
      </w:tr>
    </w:tbl>
    <w:p>
      <w:pPr>
        <w:pStyle w:val="BlockText"/>
      </w:pPr>
      <w:r>
        <w:rPr>
          <w:bCs/>
          <w:b/>
        </w:rPr>
        <w:t xml:space="preserve">The one-sentence version:</w:t>
      </w:r>
      <w:r>
        <w:t xml:space="preserve"> </w:t>
      </w:r>
      <w:r>
        <w:t xml:space="preserve">the network stopped being a place, so identity can no longer be proof of place. Identity must be proof of</w:t>
      </w:r>
      <w:r>
        <w:t xml:space="preserve"> </w:t>
      </w:r>
      <w:r>
        <w:rPr>
          <w:iCs/>
          <w:i/>
        </w:rPr>
        <w:t xml:space="preserve">key possession</w:t>
      </w:r>
      <w:r>
        <w:t xml:space="preserve"> </w:t>
      </w:r>
      <w:r>
        <w:t xml:space="preserve">— a certificate or a token, verified by signature, valid anywhere the mathematics is valid, which is everywhere.</w:t>
      </w:r>
    </w:p>
    <w:bookmarkEnd w:id="33"/>
    <w:bookmarkStart w:id="34" w:name="why-this-cannot-be-patched"/>
    <w:p>
      <w:pPr>
        <w:pStyle w:val="Heading2"/>
      </w:pPr>
      <w:r>
        <w:t xml:space="preserve">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numPr>
          <w:ilvl w:val="0"/>
          <w:numId w:val="1004"/>
        </w:numPr>
        <w:pStyle w:val="Compact"/>
      </w:pPr>
      <w:r>
        <w:rPr>
          <w:bCs/>
          <w:b/>
        </w:rPr>
        <w:t xml:space="preserve">“</w:t>
      </w:r>
      <w:r>
        <w:rPr>
          <w:bCs/>
          <w:b/>
        </w:rPr>
        <w:t xml:space="preserve">Pin authentication traffic to a single path.</w:t>
      </w:r>
      <w:r>
        <w:rPr>
          <w:bCs/>
          <w:b/>
        </w:rPr>
        <w:t xml:space="preserve">”</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numPr>
          <w:ilvl w:val="0"/>
          <w:numId w:val="1004"/>
        </w:numPr>
        <w:pStyle w:val="Compact"/>
      </w:pPr>
      <w:r>
        <w:rPr>
          <w:bCs/>
          <w:b/>
        </w:rPr>
        <w:t xml:space="preserve">“</w:t>
      </w:r>
      <w:r>
        <w:rPr>
          <w:bCs/>
          <w:b/>
        </w:rPr>
        <w:t xml:space="preserve">Deploy read-only domain controllers everywhere.</w:t>
      </w:r>
      <w:r>
        <w:rPr>
          <w:bCs/>
          <w:b/>
        </w:rPr>
        <w:t xml:space="preserv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numPr>
          <w:ilvl w:val="0"/>
          <w:numId w:val="1004"/>
        </w:numPr>
        <w:pStyle w:val="Compact"/>
      </w:pPr>
      <w:r>
        <w:rPr>
          <w:bCs/>
          <w:b/>
        </w:rPr>
        <w:t xml:space="preserve">“</w:t>
      </w:r>
      <w:r>
        <w:rPr>
          <w:bCs/>
          <w:b/>
        </w:rPr>
        <w:t xml:space="preserve">Extend the domain into the cloud.</w:t>
      </w:r>
      <w:r>
        <w:rPr>
          <w:bCs/>
          <w:b/>
        </w:rPr>
        <w:t xml:space="preserve">”</w:t>
      </w:r>
      <w:r>
        <w:t xml:space="preserve"> </w:t>
      </w:r>
      <w:r>
        <w:t xml:space="preserve">Site-to-site tunnels carrying domain traffic to cloud regions recreate the hairpin that</w:t>
      </w:r>
      <w:r>
        <w:t xml:space="preserve"> </w:t>
      </w:r>
      <w:hyperlink r:id="rId26">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4"/>
    <w:bookmarkEnd w:id="35"/>
    <w:bookmarkStart w:id="42" w:name="pki-as-a-naming-plane-function"/>
    <w:p>
      <w:pPr>
        <w:pStyle w:val="Heading1"/>
      </w:pPr>
      <w:r>
        <w:t xml:space="preserve">PKI as a Naming-Plane Function</w:t>
      </w:r>
    </w:p>
    <w:bookmarkStart w:id="39" w:name="a-certificate-is-a-naming-claim"/>
    <w:p>
      <w:pPr>
        <w:pStyle w:val="Heading2"/>
      </w:pPr>
      <w:r>
        <w:t xml:space="preserve">A Certificate Is a Naming Claim</w:t>
      </w:r>
    </w:p>
    <w:p>
      <w:pPr>
        <w:pStyle w:val="FirstParagraph"/>
      </w:pPr>
      <w:r>
        <w:t xml:space="preserve">Strip the ceremony away and an X.509 certificate is one sentence:</w:t>
      </w:r>
      <w:r>
        <w:t xml:space="preserve"> </w:t>
      </w:r>
      <w:r>
        <w:rPr>
          <w:iCs/>
          <w:i/>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Cs/>
          <w:b/>
        </w:rPr>
        <w:t xml:space="preserve">DNS operation.</w:t>
      </w:r>
      <w:r>
        <w:t xml:space="preserve"> </w:t>
      </w:r>
      <w:r>
        <w:t xml:space="preserve">This is the fact that makes PKI a naming-plane function rather than a parallel bureaucracy:</w:t>
      </w:r>
    </w:p>
    <w:p>
      <w:pPr>
        <w:numPr>
          <w:ilvl w:val="0"/>
          <w:numId w:val="1005"/>
        </w:numPr>
        <w:pStyle w:val="Compact"/>
      </w:pPr>
      <w:r>
        <w:rPr>
          <w:bCs/>
          <w:b/>
        </w:rPr>
        <w:t xml:space="preserve">CAA records (RFC 8659)</w:t>
      </w:r>
      <w:r>
        <w:t xml:space="preserve"> </w:t>
      </w:r>
      <w:r>
        <w:t xml:space="preserve">publish issuance policy</w:t>
      </w:r>
      <w:r>
        <w:t xml:space="preserve"> </w:t>
      </w:r>
      <w:r>
        <w:rPr>
          <w:iCs/>
          <w:i/>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21">
        <w:r>
          <w:rPr>
            <w:rStyle w:val="Hyperlink"/>
          </w:rPr>
          <w:t xml:space="preserve">Book 01</w:t>
        </w:r>
      </w:hyperlink>
      <w:r>
        <w:t xml:space="preserve"> </w:t>
      </w:r>
      <w:r>
        <w:t xml:space="preserve">placed under unified DDI control. A policy memo asks CAs nicely; a CAA record is checked by protocol.</w:t>
      </w:r>
    </w:p>
    <w:p>
      <w:pPr>
        <w:numPr>
          <w:ilvl w:val="0"/>
          <w:numId w:val="1005"/>
        </w:numPr>
        <w:pStyle w:val="Compact"/>
      </w:pPr>
      <w:r>
        <w:rPr>
          <w:bCs/>
          <w:b/>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numPr>
          <w:ilvl w:val="0"/>
          <w:numId w:val="1005"/>
        </w:numPr>
        <w:pStyle w:val="Compact"/>
      </w:pPr>
      <w:r>
        <w:rPr>
          <w:bCs/>
          <w:b/>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Cs/>
          <w:i/>
        </w:rPr>
        <w:t xml:space="preserve">authenticate anything</w:t>
      </w:r>
      <w:r>
        <w:t xml:space="preserve"> </w:t>
      </w:r>
      <w:r>
        <w:t xml:space="preserve">whose validation requires a status check. DNSSEC validation on those lookups (Book 01, SC-20/21) protects the revocation path itself from spoofing.</w:t>
      </w:r>
    </w:p>
    <w:p>
      <w:pPr>
        <w:pStyle w:val="CaptionedFigure"/>
      </w:pPr>
      <w:r>
        <w:drawing>
          <wp:inline>
            <wp:extent cx="5334000" cy="3000375"/>
            <wp:effectExtent b="0" l="0" r="0" t="0"/>
            <wp:docPr descr="Certificate issuance, policy, and revocation as functions of the authoritative DNS zone" title="" id="37" name="Picture"/>
            <a:graphic>
              <a:graphicData uri="http://schemas.openxmlformats.org/drawingml/2006/picture">
                <pic:pic>
                  <pic:nvPicPr>
                    <pic:cNvPr descr="figs/ct-fig-02-pki-naming-plan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Certificate issuance, policy, and revocation as functions of the authoritative DNS zone</w:t>
      </w:r>
    </w:p>
    <w:bookmarkEnd w:id="39"/>
    <w:bookmarkStart w:id="40" w:name="one-substrate-three-consumers"/>
    <w:p>
      <w:pPr>
        <w:pStyle w:val="Heading2"/>
      </w:pPr>
      <w:r>
        <w:t xml:space="preserve">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Cs/>
          <w:b/>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 {.striped .hover}</w:t>
      </w:r>
    </w:p>
    <w:tbl>
      <w:tblPr>
        <w:tblStyle w:val="Table"/>
        <w:tblW w:type="pct" w:w="5000"/>
        <w:tblLook w:firstRow="1" w:lastRow="0" w:firstColumn="0" w:lastColumn="0" w:noHBand="0" w:noVBand="0" w:val="0020"/>
        <w:jc w:val="start"/>
        <w:tblCaption w:val="Certificate consumers across the series {.striped .hover}"/>
      </w:tblPr>
      <w:tblGrid>
        <w:gridCol w:w="2640"/>
        <w:gridCol w:w="2640"/>
        <w:gridCol w:w="2640"/>
      </w:tblGrid>
      <w:tr>
        <w:trPr>
          <w:tblHeader w:val="true"/>
        </w:trPr>
        <w:tc>
          <w:tcPr/>
          <w:p>
            <w:pPr>
              <w:pStyle w:val="Compact"/>
              <w:jc w:val="left"/>
            </w:pPr>
            <w:r>
              <w:t xml:space="preserve">Consumer</w:t>
            </w:r>
          </w:p>
        </w:tc>
        <w:tc>
          <w:tcPr/>
          <w:p>
            <w:pPr>
              <w:pStyle w:val="Compact"/>
              <w:jc w:val="left"/>
            </w:pPr>
            <w:r>
              <w:t xml:space="preserve">Certificate Function</w:t>
            </w:r>
          </w:p>
        </w:tc>
        <w:tc>
          <w:tcPr/>
          <w:p>
            <w:pPr>
              <w:pStyle w:val="Compact"/>
              <w:jc w:val="left"/>
            </w:pPr>
            <w:r>
              <w:t xml:space="preserve">Series Home</w:t>
            </w:r>
          </w:p>
        </w:tc>
      </w:tr>
      <w:tr>
        <w:tc>
          <w:tcPr/>
          <w:p>
            <w:pPr>
              <w:pStyle w:val="Compact"/>
              <w:jc w:val="left"/>
            </w:pPr>
            <w:r>
              <w:t xml:space="preserve">Device identity at the port</w:t>
            </w:r>
          </w:p>
        </w:tc>
        <w:tc>
          <w:tcPr/>
          <w:p>
            <w:pPr>
              <w:pStyle w:val="Compact"/>
              <w:jc w:val="left"/>
            </w:pPr>
            <w:r>
              <w:t xml:space="preserve">Machine certificates enrolled via SCEP at device provisioning, validated by RADIUS/EAP-TLS</w:t>
            </w:r>
          </w:p>
        </w:tc>
        <w:tc>
          <w:tcPr/>
          <w:p>
            <w:pPr>
              <w:pStyle w:val="Compact"/>
              <w:jc w:val="left"/>
            </w:pPr>
            <w:hyperlink r:id="rId22">
              <w:r>
                <w:rPr>
                  <w:rStyle w:val="Hyperlink"/>
                </w:rPr>
                <w:t xml:space="preserve">Book 02</w:t>
              </w:r>
            </w:hyperlink>
          </w:p>
        </w:tc>
      </w:tr>
      <w:tr>
        <w:tc>
          <w:tcPr/>
          <w:p>
            <w:pPr>
              <w:pStyle w:val="Compact"/>
              <w:jc w:val="left"/>
            </w:pPr>
            <w:r>
              <w:t xml:space="preserve">Workload transport identity</w:t>
            </w:r>
          </w:p>
        </w:tc>
        <w:tc>
          <w:tcPr/>
          <w:p>
            <w:pPr>
              <w:pStyle w:val="Compact"/>
              <w:jc w:val="left"/>
            </w:pPr>
            <w:r>
              <w:t xml:space="preserve">Server and service certificates issued at IP allocation time, revoked atomically at decommission</w:t>
            </w:r>
          </w:p>
        </w:tc>
        <w:tc>
          <w:tcPr/>
          <w:p>
            <w:pPr>
              <w:pStyle w:val="Compact"/>
              <w:jc w:val="left"/>
            </w:pPr>
            <w:hyperlink r:id="rId21">
              <w:r>
                <w:rPr>
                  <w:rStyle w:val="Hyperlink"/>
                </w:rPr>
                <w:t xml:space="preserve">Book 01</w:t>
              </w:r>
            </w:hyperlink>
          </w:p>
        </w:tc>
      </w:tr>
      <w:tr>
        <w:tc>
          <w:tcPr/>
          <w:p>
            <w:pPr>
              <w:pStyle w:val="Compact"/>
              <w:jc w:val="left"/>
            </w:pPr>
            <w:r>
              <w:t xml:space="preserve">User and application authentication</w:t>
            </w:r>
          </w:p>
        </w:tc>
        <w:tc>
          <w:tcPr/>
          <w:p>
            <w:pPr>
              <w:pStyle w:val="Compact"/>
              <w:jc w:val="left"/>
            </w:pPr>
            <w:r>
              <w:t xml:space="preserve">Certificate-based authentication and token signing keys</w:t>
            </w:r>
          </w:p>
        </w:tc>
        <w:tc>
          <w:tcPr/>
          <w:p>
            <w:pPr>
              <w:pStyle w:val="Compact"/>
              <w:jc w:val="left"/>
            </w:pPr>
            <w:r>
              <w:t xml:space="preserve">This book, applied in</w:t>
            </w:r>
            <w:r>
              <w:t xml:space="preserve"> </w:t>
            </w:r>
            <w:hyperlink r:id="rId23">
              <w:r>
                <w:rPr>
                  <w:rStyle w:val="Hyperlink"/>
                </w:rPr>
                <w:t xml:space="preserve">Books 07</w:t>
              </w:r>
            </w:hyperlink>
            <w:r>
              <w:t xml:space="preserve">–</w:t>
            </w:r>
            <w:hyperlink r:id="rId24">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Cs/>
          <w:b/>
        </w:rPr>
        <w:t xml:space="preserve">name, address, and key bound together at birth, revoked together at death.</w:t>
      </w:r>
      <w:r>
        <w:t xml:space="preserve"> </w:t>
      </w:r>
      <w:r>
        <w:t xml:space="preserve">A certificate tracked separately from the naming plane is a certificate whose name can silently stop being true.</w:t>
      </w:r>
    </w:p>
    <w:p>
      <w:pPr>
        <w:pStyle w:val="BodyText"/>
      </w:pPr>
      <w:r>
        <w:rPr>
          <w:bCs/>
          <w:b/>
        </w:rPr>
        <w:t xml:space="preserve">Cross-Book Link — The Same Binding for NAC-Enrolled Endpoints (Books 01 and 02):</w:t>
      </w:r>
      <w:r>
        <w:t xml:space="preserve"> </w:t>
      </w:r>
      <w:r>
        <w:t xml:space="preserve">The</w:t>
      </w:r>
      <w:r>
        <w:t xml:space="preserve"> </w:t>
      </w:r>
      <w:r>
        <w:t xml:space="preserve">“</w:t>
      </w:r>
      <w:r>
        <w:t xml:space="preserve">name, address, and key bound together</w:t>
      </w:r>
      <w:r>
        <w:t xml:space="preserve">”</w:t>
      </w:r>
      <w:r>
        <w:t xml:space="preserve"> </w:t>
      </w:r>
      <w:r>
        <w:t xml:space="preserve">compound guarantee applies equally to</w:t>
      </w:r>
      <w:r>
        <w:t xml:space="preserve"> </w:t>
      </w:r>
      <w:r>
        <w:rPr>
          <w:bCs/>
          <w:b/>
        </w:rPr>
        <w:t xml:space="preserve">NAC-enrolled endpoint devices</w:t>
      </w:r>
      <w:r>
        <w:t xml:space="preserve">:</w:t>
      </w:r>
    </w:p>
    <w:p>
      <w:pPr>
        <w:numPr>
          <w:ilvl w:val="0"/>
          <w:numId w:val="1006"/>
        </w:numPr>
        <w:pStyle w:val="Compact"/>
      </w:pPr>
      <w:hyperlink r:id="rId22">
        <w:r>
          <w:rPr>
            <w:rStyle w:val="Hyperlink"/>
          </w:rPr>
          <w:t xml:space="preserve">Book 02</w:t>
        </w:r>
      </w:hyperlink>
      <w:r>
        <w:t xml:space="preserve"> </w:t>
      </w:r>
      <w:r>
        <w:t xml:space="preserve">covers the machine certificate side — Intune/SCEP enrollment issues a certificate with</w:t>
      </w:r>
      <w:r>
        <w:t xml:space="preserve"> </w:t>
      </w:r>
      <w:r>
        <w:rPr>
          <w:rStyle w:val="VerbatimChar"/>
        </w:rPr>
        <w:t xml:space="preserve">CN={{DeviceName}}</w:t>
      </w:r>
      <w:r>
        <w:t xml:space="preserve"> </w:t>
      </w:r>
      <w:r>
        <w:t xml:space="preserve">at 802.1X admission.</w:t>
      </w:r>
    </w:p>
    <w:p>
      <w:pPr>
        <w:numPr>
          <w:ilvl w:val="0"/>
          <w:numId w:val="1006"/>
        </w:numPr>
        <w:pStyle w:val="Compact"/>
      </w:pPr>
      <w:hyperlink r:id="rId21">
        <w:r>
          <w:rPr>
            <w:rStyle w:val="Hyperlink"/>
          </w:rPr>
          <w:t xml:space="preserve">Book 01</w:t>
        </w:r>
      </w:hyperlink>
      <w:r>
        <w:t xml:space="preserve"> </w:t>
      </w:r>
      <w:r>
        <w:t xml:space="preserve">owns the DNS hostname side — the InfoBlox DHCP lease assignment should confirm or create a DNS A/PTR record binding the device’s name to its admitted IP.</w:t>
      </w:r>
    </w:p>
    <w:p>
      <w:pPr>
        <w:pStyle w:val="FirstParagraph"/>
      </w:pPr>
      <w:r>
        <w:t xml:space="preserve">The bridging proposition — that</w:t>
      </w:r>
      <w:r>
        <w:t xml:space="preserve"> </w:t>
      </w:r>
      <w:r>
        <w:rPr>
          <w:bCs/>
          <w:b/>
        </w:rPr>
        <w:t xml:space="preserve">every NAC-admitted endpoint has both a DNS hostname and a machine certificate, and that InfoBlox holds the authoritative binding record</w:t>
      </w:r>
      <w:r>
        <w:t xml:space="preserve"> </w:t>
      </w:r>
      <w:r>
        <w:t xml:space="preserve">— is currently a design gap across the series. The intent is that this compound guarantee holds for both cloud workloads (IP allocation → DNS A → SCEP) and for endpoint devices (Intune enrollment → machine cert → DNS A confirmation at DHCP lease). OIS must validate this design and the SCEP-to-DNS linkage implementation before it is treated as a closed control.</w:t>
      </w:r>
    </w:p>
    <w:bookmarkEnd w:id="40"/>
    <w:bookmarkStart w:id="41" w:name="the-internal-trust-hierarchy"/>
    <w:p>
      <w:pPr>
        <w:pStyle w:val="Heading2"/>
      </w:pPr>
      <w:r>
        <w:t xml:space="preserve">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numPr>
          <w:ilvl w:val="0"/>
          <w:numId w:val="1007"/>
        </w:numPr>
        <w:pStyle w:val="Compact"/>
      </w:pPr>
      <w:r>
        <w:rPr>
          <w:bCs/>
          <w:b/>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numPr>
          <w:ilvl w:val="0"/>
          <w:numId w:val="1007"/>
        </w:numPr>
        <w:pStyle w:val="Compact"/>
      </w:pPr>
      <w:r>
        <w:rPr>
          <w:bCs/>
          <w:b/>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22">
        <w:r>
          <w:rPr>
            <w:rStyle w:val="Hyperlink"/>
          </w:rPr>
          <w:t xml:space="preserve">Book 02</w:t>
        </w:r>
      </w:hyperlink>
      <w:r>
        <w:t xml:space="preserve"> </w:t>
      </w:r>
      <w:r>
        <w:t xml:space="preserve">trusts the device-identity chain, not every certificate the agency ever minted.</w:t>
      </w:r>
    </w:p>
    <w:p>
      <w:pPr>
        <w:numPr>
          <w:ilvl w:val="0"/>
          <w:numId w:val="1007"/>
        </w:numPr>
        <w:pStyle w:val="Compact"/>
      </w:pPr>
      <w:r>
        <w:rPr>
          <w:bCs/>
          <w:b/>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numPr>
          <w:ilvl w:val="0"/>
          <w:numId w:val="1007"/>
        </w:numPr>
        <w:pStyle w:val="Compact"/>
      </w:pPr>
      <w:r>
        <w:rPr>
          <w:bCs/>
          <w:b/>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 {.striped .hover}</w:t>
      </w:r>
    </w:p>
    <w:tbl>
      <w:tblPr>
        <w:tblStyle w:val="Table"/>
        <w:tblW w:type="pct" w:w="5000"/>
        <w:tblLook w:firstRow="1" w:lastRow="0" w:firstColumn="0" w:lastColumn="0" w:noHBand="0" w:noVBand="0" w:val="0020"/>
        <w:jc w:val="start"/>
        <w:tblCaption w:val="The internal trust hierarchy — key protection descends as lifetime shortens {.striped .hover}"/>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Key Protection</w:t>
            </w:r>
          </w:p>
        </w:tc>
        <w:tc>
          <w:tcPr/>
          <w:p>
            <w:pPr>
              <w:pStyle w:val="Compact"/>
              <w:jc w:val="left"/>
            </w:pPr>
            <w:r>
              <w:t xml:space="preserve">Network Posture</w:t>
            </w:r>
          </w:p>
        </w:tc>
        <w:tc>
          <w:tcPr/>
          <w:p>
            <w:pPr>
              <w:pStyle w:val="Compact"/>
              <w:jc w:val="left"/>
            </w:pPr>
            <w:r>
              <w:t xml:space="preserve">Signs</w:t>
            </w:r>
          </w:p>
        </w:tc>
        <w:tc>
          <w:tcPr/>
          <w:p>
            <w:pPr>
              <w:pStyle w:val="Compact"/>
              <w:jc w:val="left"/>
            </w:pPr>
            <w:r>
              <w:t xml:space="preserve">Lifetime Order</w:t>
            </w:r>
          </w:p>
        </w:tc>
      </w:tr>
      <w:tr>
        <w:tc>
          <w:tcPr/>
          <w:p>
            <w:pPr>
              <w:pStyle w:val="Compact"/>
              <w:jc w:val="left"/>
            </w:pPr>
            <w:r>
              <w:t xml:space="preserve">Root CA</w:t>
            </w:r>
          </w:p>
        </w:tc>
        <w:tc>
          <w:tcPr/>
          <w:p>
            <w:pPr>
              <w:pStyle w:val="Compact"/>
              <w:jc w:val="left"/>
            </w:pPr>
            <w:r>
              <w:t xml:space="preserve">HSM, offline</w:t>
            </w:r>
          </w:p>
        </w:tc>
        <w:tc>
          <w:tcPr/>
          <w:p>
            <w:pPr>
              <w:pStyle w:val="Compact"/>
              <w:jc w:val="left"/>
            </w:pPr>
            <w:r>
              <w:t xml:space="preserve">Never connected</w:t>
            </w:r>
          </w:p>
        </w:tc>
        <w:tc>
          <w:tcPr/>
          <w:p>
            <w:pPr>
              <w:pStyle w:val="Compact"/>
              <w:jc w:val="left"/>
            </w:pPr>
            <w:r>
              <w:t xml:space="preserve">Issuing CA certificates, root CRL</w:t>
            </w:r>
          </w:p>
        </w:tc>
        <w:tc>
          <w:tcPr/>
          <w:p>
            <w:pPr>
              <w:pStyle w:val="Compact"/>
              <w:jc w:val="left"/>
            </w:pPr>
            <w:r>
              <w:t xml:space="preserve">Decades</w:t>
            </w:r>
          </w:p>
        </w:tc>
      </w:tr>
      <w:tr>
        <w:tc>
          <w:tcPr/>
          <w:p>
            <w:pPr>
              <w:pStyle w:val="Compact"/>
              <w:jc w:val="left"/>
            </w:pPr>
            <w:r>
              <w:t xml:space="preserve">Issuing CAs</w:t>
            </w:r>
          </w:p>
        </w:tc>
        <w:tc>
          <w:tcPr/>
          <w:p>
            <w:pPr>
              <w:pStyle w:val="Compact"/>
              <w:jc w:val="left"/>
            </w:pPr>
            <w:r>
              <w:t xml:space="preserve">HSM, online</w:t>
            </w:r>
          </w:p>
        </w:tc>
        <w:tc>
          <w:tcPr/>
          <w:p>
            <w:pPr>
              <w:pStyle w:val="Compact"/>
              <w:jc w:val="left"/>
            </w:pPr>
            <w:r>
              <w:t xml:space="preserve">Enrollment protocols only (ACME/SCEP/EST)</w:t>
            </w:r>
          </w:p>
        </w:tc>
        <w:tc>
          <w:tcPr/>
          <w:p>
            <w:pPr>
              <w:pStyle w:val="Compact"/>
              <w:jc w:val="left"/>
            </w:pPr>
            <w:r>
              <w:t xml:space="preserve">End-entity certificates, CRLs, OCSP responses</w:t>
            </w:r>
          </w:p>
        </w:tc>
        <w:tc>
          <w:tcPr/>
          <w:p>
            <w:pPr>
              <w:pStyle w:val="Compact"/>
              <w:jc w:val="left"/>
            </w:pPr>
            <w:r>
              <w:t xml:space="preserve">Years</w:t>
            </w:r>
          </w:p>
        </w:tc>
      </w:tr>
      <w:tr>
        <w:tc>
          <w:tcPr/>
          <w:p>
            <w:pPr>
              <w:pStyle w:val="Compact"/>
              <w:jc w:val="left"/>
            </w:pPr>
            <w:r>
              <w:t xml:space="preserve">End entities</w:t>
            </w:r>
          </w:p>
        </w:tc>
        <w:tc>
          <w:tcPr/>
          <w:p>
            <w:pPr>
              <w:pStyle w:val="Compact"/>
              <w:jc w:val="left"/>
            </w:pPr>
            <w:r>
              <w:t xml:space="preserve">TPM / platform key store / smart card</w:t>
            </w:r>
          </w:p>
        </w:tc>
        <w:tc>
          <w:tcPr/>
          <w:p>
            <w:pPr>
              <w:pStyle w:val="Compact"/>
              <w:jc w:val="left"/>
            </w:pPr>
            <w:r>
              <w:t xml:space="preserve">N/A</w:t>
            </w:r>
          </w:p>
        </w:tc>
        <w:tc>
          <w:tcPr/>
          <w:p>
            <w:pPr>
              <w:pStyle w:val="Compact"/>
              <w:jc w:val="left"/>
            </w:pPr>
            <w:r>
              <w:t xml:space="preserve">Authentication and transport exchanges</w:t>
            </w:r>
          </w:p>
        </w:tc>
        <w:tc>
          <w:tcPr/>
          <w:p>
            <w:pPr>
              <w:pStyle w:val="Compact"/>
              <w:jc w:val="left"/>
            </w:pPr>
            <w:r>
              <w:t xml:space="preserve">Days to months</w:t>
            </w:r>
          </w:p>
        </w:tc>
      </w:tr>
    </w:tbl>
    <w:p>
      <w:pPr>
        <w:pStyle w:val="BlockText"/>
      </w:pPr>
      <w:r>
        <w:rPr>
          <w:bCs/>
          <w:b/>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41"/>
    <w:bookmarkEnd w:id="42"/>
    <w:bookmarkStart w:id="51" w:name="X5640bec4ca7d998923d0137acff7faca70a4b04"/>
    <w:p>
      <w:pPr>
        <w:pStyle w:val="Heading1"/>
      </w:pPr>
      <w:r>
        <w:t xml:space="preserve">Certificate Lifecycle Automation — The End of the Spreadsheet CA</w:t>
      </w:r>
    </w:p>
    <w:bookmarkStart w:id="43" w:name="the-failure-mode-being-retired"/>
    <w:p>
      <w:pPr>
        <w:pStyle w:val="Heading2"/>
      </w:pPr>
      <w:r>
        <w:t xml:space="preserve">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numPr>
          <w:ilvl w:val="0"/>
          <w:numId w:val="1008"/>
        </w:numPr>
        <w:pStyle w:val="Compact"/>
      </w:pPr>
      <w:r>
        <w:rPr>
          <w:bCs/>
          <w:b/>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numPr>
          <w:ilvl w:val="0"/>
          <w:numId w:val="1008"/>
        </w:numPr>
        <w:pStyle w:val="Compact"/>
      </w:pPr>
      <w:r>
        <w:rPr>
          <w:bCs/>
          <w:b/>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numPr>
          <w:ilvl w:val="0"/>
          <w:numId w:val="1008"/>
        </w:numPr>
        <w:pStyle w:val="Compact"/>
      </w:pPr>
      <w:r>
        <w:rPr>
          <w:bCs/>
          <w:b/>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43"/>
    <w:bookmarkStart w:id="44" w:name="Xf3837ac675b363d64c320238b77aed82d3d3087"/>
    <w:p>
      <w:pPr>
        <w:pStyle w:val="Heading2"/>
      </w:pPr>
      <w:r>
        <w:t xml:space="preserve">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Cs/>
          <w:b/>
        </w:rPr>
        <w:t xml:space="preserve">47 days by 2029</w:t>
      </w:r>
      <w:r>
        <w:t xml:space="preserve">, with the first reductions already in force in 2026. The browser ecosystem is doing this</w:t>
      </w:r>
      <w:r>
        <w:t xml:space="preserve"> </w:t>
      </w:r>
      <w:r>
        <w:rPr>
          <w:iCs/>
          <w:i/>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w:t>
      </w:r>
      <w:r>
        <w:t xml:space="preserve">revoked</w:t>
      </w:r>
      <w:r>
        <w:t xml:space="preserve">”</w:t>
      </w:r>
      <w:r>
        <w:t xml:space="preserve"> </w:t>
      </w:r>
      <w:r>
        <w:t xml:space="preserve">by simply not renewing it). The policy consequence for agencies is blunt:</w:t>
      </w:r>
    </w:p>
    <w:p>
      <w:pPr>
        <w:pStyle w:val="BlockText"/>
      </w:pPr>
      <w:r>
        <w:rPr>
          <w:bCs/>
          <w:b/>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44"/>
    <w:bookmarkStart w:id="48" w:name="the-automation-stack"/>
    <w:p>
      <w:pPr>
        <w:pStyle w:val="Heading2"/>
      </w:pPr>
      <w:r>
        <w:t xml:space="preserve">The Automation Stack</w:t>
      </w:r>
    </w:p>
    <w:p>
      <w:pPr>
        <w:pStyle w:val="CaptionedFigure"/>
      </w:pPr>
      <w:r>
        <w:drawing>
          <wp:inline>
            <wp:extent cx="5334000" cy="3000375"/>
            <wp:effectExtent b="0" l="0" r="0" t="0"/>
            <wp:docPr descr="The automated certificate lifecycle: enrollment protocols, short lifetimes, and DDI-keyed inventory" title="" id="46" name="Picture"/>
            <a:graphic>
              <a:graphicData uri="http://schemas.openxmlformats.org/drawingml/2006/picture">
                <pic:pic>
                  <pic:nvPicPr>
                    <pic:cNvPr descr="figs/ct-fig-03-acme-lifecycle.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automated certificate lifecycle: enrollment protocols, short lifetimes, and DDI-keyed inventory</w:t>
      </w:r>
    </w:p>
    <w:p>
      <w:pPr>
        <w:pStyle w:val="BodyText"/>
      </w:pPr>
      <w:r>
        <w:t xml:space="preserve">The replacement stack has three layers, all already procured by an agency that built Books 01–02:</w:t>
      </w:r>
    </w:p>
    <w:p>
      <w:pPr>
        <w:numPr>
          <w:ilvl w:val="0"/>
          <w:numId w:val="1009"/>
        </w:numPr>
      </w:pPr>
      <w:r>
        <w:rPr>
          <w:bCs/>
          <w:b/>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tblLook w:firstRow="1" w:lastRow="0" w:firstColumn="0" w:lastColumn="0" w:noHBand="0" w:noVBand="0" w:val="0020"/>
        <w:jc w:val="start"/>
        <w:tblInd w:w="720" w:type="dxa"/>
      </w:tblPr>
      <w:tblGrid>
        <w:gridCol w:w="1980"/>
        <w:gridCol w:w="1980"/>
        <w:gridCol w:w="1980"/>
        <w:gridCol w:w="1980"/>
      </w:tblGrid>
      <w:tr>
        <w:trPr>
          <w:tblHeader w:val="true"/>
        </w:trPr>
        <w:tc>
          <w:tcPr/>
          <w:p>
            <w:pPr>
              <w:pStyle w:val="Compact"/>
              <w:jc w:val="left"/>
            </w:pPr>
            <w:r>
              <w:t xml:space="preserve">Protocol</w:t>
            </w:r>
          </w:p>
        </w:tc>
        <w:tc>
          <w:tcPr/>
          <w:p>
            <w:pPr>
              <w:pStyle w:val="Compact"/>
              <w:jc w:val="left"/>
            </w:pPr>
            <w:r>
              <w:t xml:space="preserve">Proof of Entitlement</w:t>
            </w:r>
          </w:p>
        </w:tc>
        <w:tc>
          <w:tcPr/>
          <w:p>
            <w:pPr>
              <w:pStyle w:val="Compact"/>
              <w:jc w:val="left"/>
            </w:pPr>
            <w:r>
              <w:t xml:space="preserve">Primary Consumers</w:t>
            </w:r>
          </w:p>
        </w:tc>
        <w:tc>
          <w:tcPr/>
          <w:p>
            <w:pPr>
              <w:pStyle w:val="Compact"/>
              <w:jc w:val="left"/>
            </w:pPr>
            <w:r>
              <w:t xml:space="preserve">Naming-Plane Dependency</w:t>
            </w:r>
          </w:p>
        </w:tc>
      </w:tr>
      <w:tr>
        <w:tc>
          <w:tcPr/>
          <w:p>
            <w:pPr>
              <w:pStyle w:val="Compact"/>
              <w:jc w:val="left"/>
            </w:pPr>
            <w:r>
              <w:t xml:space="preserve">ACME (RFC 8555)</w:t>
            </w:r>
          </w:p>
        </w:tc>
        <w:tc>
          <w:tcPr/>
          <w:p>
            <w:pPr>
              <w:pStyle w:val="Compact"/>
              <w:jc w:val="left"/>
            </w:pPr>
            <w:r>
              <w:t xml:space="preserve">DNS-01 TXT record or HTTP-01 token at the name being certified</w:t>
            </w:r>
          </w:p>
        </w:tc>
        <w:tc>
          <w:tcPr/>
          <w:p>
            <w:pPr>
              <w:pStyle w:val="Compact"/>
              <w:jc w:val="left"/>
            </w:pPr>
            <w:r>
              <w:t xml:space="preserve">Web listeners, load-balanced services, anything with a resolvable name</w:t>
            </w:r>
          </w:p>
        </w:tc>
        <w:tc>
          <w:tcPr/>
          <w:p>
            <w:pPr>
              <w:pStyle w:val="Compact"/>
              <w:jc w:val="left"/>
            </w:pPr>
            <w:r>
              <w:t xml:space="preserve">The DDI API writes the challenge record; the authoritative zone is the gate</w:t>
            </w:r>
          </w:p>
        </w:tc>
      </w:tr>
      <w:tr>
        <w:tc>
          <w:tcPr/>
          <w:p>
            <w:pPr>
              <w:pStyle w:val="Compact"/>
              <w:jc w:val="left"/>
            </w:pPr>
            <w:r>
              <w:t xml:space="preserve">SCEP</w:t>
            </w:r>
          </w:p>
        </w:tc>
        <w:tc>
          <w:tcPr/>
          <w:p>
            <w:pPr>
              <w:pStyle w:val="Compact"/>
              <w:jc w:val="left"/>
            </w:pPr>
            <w:r>
              <w:t xml:space="preserve">Enrollment challenge delivered through the device management channel</w:t>
            </w:r>
          </w:p>
        </w:tc>
        <w:tc>
          <w:tcPr/>
          <w:p>
            <w:pPr>
              <w:pStyle w:val="Compact"/>
              <w:jc w:val="left"/>
            </w:pPr>
            <w:r>
              <w:t xml:space="preserve">Managed endpoints, network devices (the Book 02 machine certificates)</w:t>
            </w:r>
          </w:p>
        </w:tc>
        <w:tc>
          <w:tcPr/>
          <w:p>
            <w:pPr>
              <w:pStyle w:val="Compact"/>
              <w:jc w:val="left"/>
            </w:pPr>
            <w:r>
              <w:t xml:space="preserve">Device record and certificate bound to the IPAM inventory object</w:t>
            </w:r>
          </w:p>
        </w:tc>
      </w:tr>
      <w:tr>
        <w:tc>
          <w:tcPr/>
          <w:p>
            <w:pPr>
              <w:pStyle w:val="Compact"/>
              <w:jc w:val="left"/>
            </w:pPr>
            <w:r>
              <w:t xml:space="preserve">EST (RFC 7030)</w:t>
            </w:r>
          </w:p>
        </w:tc>
        <w:tc>
          <w:tcPr/>
          <w:p>
            <w:pPr>
              <w:pStyle w:val="Compact"/>
              <w:jc w:val="left"/>
            </w:pPr>
            <w:r>
              <w:t xml:space="preserve">TLS-authenticated enrollment, including re-enrollment on an existing certificate</w:t>
            </w:r>
          </w:p>
        </w:tc>
        <w:tc>
          <w:tcPr/>
          <w:p>
            <w:pPr>
              <w:pStyle w:val="Compact"/>
              <w:jc w:val="left"/>
            </w:pPr>
            <w:r>
              <w:t xml:space="preserve">Infrastructure and IoT/OT devices requiring certificate-authenticated renewal</w:t>
            </w:r>
          </w:p>
        </w:tc>
        <w:tc>
          <w:tcPr/>
          <w:p>
            <w:pPr>
              <w:pStyle w:val="Compact"/>
              <w:jc w:val="left"/>
            </w:pPr>
            <w:r>
              <w:t xml:space="preserve">Same inventory binding; renewal authenticated by the expiring credential</w:t>
            </w:r>
          </w:p>
        </w:tc>
      </w:tr>
      <w:tr>
        <w:tc>
          <w:tcPr/>
          <w:p>
            <w:pPr>
              <w:pStyle w:val="Compact"/>
              <w:jc w:val="left"/>
            </w:pPr>
            <w:r>
              <w:t xml:space="preserve">Platform-native issuance</w:t>
            </w:r>
          </w:p>
        </w:tc>
        <w:tc>
          <w:tcPr/>
          <w:p>
            <w:pPr>
              <w:pStyle w:val="Compact"/>
              <w:jc w:val="left"/>
            </w:pPr>
            <w:r>
              <w:t xml:space="preserve">Cloud control-plane attestation of the workload</w:t>
            </w:r>
          </w:p>
        </w:tc>
        <w:tc>
          <w:tcPr/>
          <w:p>
            <w:pPr>
              <w:pStyle w:val="Compact"/>
              <w:jc w:val="left"/>
            </w:pPr>
            <w:r>
              <w:t xml:space="preserve">Managed identities, platform-issued transport certificates</w:t>
            </w:r>
          </w:p>
        </w:tc>
        <w:tc>
          <w:tcPr/>
          <w:p>
            <w:pPr>
              <w:pStyle w:val="Compact"/>
              <w:jc w:val="lef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9"/>
        </w:numPr>
      </w:pPr>
      <w:r>
        <w:rPr>
          <w:bCs/>
          <w:b/>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9"/>
        </w:numPr>
      </w:pPr>
      <w:r>
        <w:rPr>
          <w:bCs/>
          <w:b/>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Cs/>
          <w:i/>
        </w:rPr>
        <w:t xml:space="preserve">detectable</w:t>
      </w:r>
      <w:r>
        <w:t xml:space="preserve"> </w:t>
      </w:r>
      <w:r>
        <w:t xml:space="preserve">condition: a listener presenting a certificate with no corresponding IPAM record is, by definition, drift.</w:t>
      </w:r>
    </w:p>
    <w:bookmarkEnd w:id="48"/>
    <w:bookmarkStart w:id="49" w:name="revocation-in-a-short-lived-world"/>
    <w:p>
      <w:pPr>
        <w:pStyle w:val="Heading2"/>
      </w:pPr>
      <w:r>
        <w:t xml:space="preserve">Revocation in a Short-Lived World</w:t>
      </w:r>
    </w:p>
    <w:p>
      <w:pPr>
        <w:pStyle w:val="FirstParagraph"/>
      </w:pPr>
      <w:r>
        <w:t xml:space="preserve">Short lifetimes change what revocation is</w:t>
      </w:r>
      <w:r>
        <w:t xml:space="preserve"> </w:t>
      </w:r>
      <w:r>
        <w:rPr>
          <w:iCs/>
          <w:i/>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numPr>
          <w:ilvl w:val="0"/>
          <w:numId w:val="1010"/>
        </w:numPr>
        <w:pStyle w:val="Compact"/>
      </w:pPr>
      <w:r>
        <w:rPr>
          <w:bCs/>
          <w:b/>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w:t>
      </w:r>
      <w:r>
        <w:t xml:space="preserve">revocations</w:t>
      </w:r>
      <w:r>
        <w:t xml:space="preserve">”</w:t>
      </w:r>
      <w:r>
        <w:t xml:space="preserve"> </w:t>
      </w:r>
      <w:r>
        <w:t xml:space="preserve">— decommissioned services, role changes, superseded keys — become non-renewals executed by the same automation that issued the credential.</w:t>
      </w:r>
    </w:p>
    <w:p>
      <w:pPr>
        <w:numPr>
          <w:ilvl w:val="0"/>
          <w:numId w:val="1010"/>
        </w:numPr>
        <w:pStyle w:val="Compact"/>
      </w:pPr>
      <w:r>
        <w:rPr>
          <w:bCs/>
          <w:b/>
        </w:rPr>
        <w:t xml:space="preserve">Revocation does the emergency work.</w:t>
      </w:r>
      <w:r>
        <w:t xml:space="preserve"> </w:t>
      </w:r>
      <w:r>
        <w:t xml:space="preserve">Confirmed key compromise still triggers actual revocation, published to CRL/OCSP immediately,</w:t>
      </w:r>
      <w:r>
        <w:t xml:space="preserve"> </w:t>
      </w:r>
      <w:r>
        <w:rPr>
          <w:iCs/>
          <w:i/>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numPr>
          <w:ilvl w:val="0"/>
          <w:numId w:val="1010"/>
        </w:numPr>
        <w:pStyle w:val="Compact"/>
      </w:pPr>
      <w:r>
        <w:rPr>
          <w:bCs/>
          <w:b/>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numPr>
          <w:ilvl w:val="0"/>
          <w:numId w:val="1010"/>
        </w:numPr>
        <w:pStyle w:val="Compact"/>
      </w:pPr>
      <w:r>
        <w:rPr>
          <w:bCs/>
          <w:b/>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49"/>
    <w:bookmarkStart w:id="50" w:name="certificate-telemetry-as-evidence"/>
    <w:p>
      <w:pPr>
        <w:pStyle w:val="Heading2"/>
      </w:pPr>
      <w:r>
        <w:t xml:space="preserve">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numPr>
          <w:ilvl w:val="0"/>
          <w:numId w:val="1011"/>
        </w:numPr>
        <w:pStyle w:val="Compact"/>
      </w:pPr>
      <w:r>
        <w:rPr>
          <w:bCs/>
          <w:b/>
        </w:rPr>
        <w:t xml:space="preserve">Expiry horizon without renewal automation.</w:t>
      </w:r>
      <w:r>
        <w:t xml:space="preserve"> </w:t>
      </w:r>
      <w:r>
        <w:t xml:space="preserve">Any certificate inside two renewal windows of expiry with no bound renewal job is an incident</w:t>
      </w:r>
      <w:r>
        <w:t xml:space="preserve"> </w:t>
      </w:r>
      <w:r>
        <w:rPr>
          <w:iCs/>
          <w:i/>
        </w:rPr>
        <w:t xml:space="preserve">now</w:t>
      </w:r>
      <w:r>
        <w:t xml:space="preserve">, not on expiry day.</w:t>
      </w:r>
    </w:p>
    <w:p>
      <w:pPr>
        <w:numPr>
          <w:ilvl w:val="0"/>
          <w:numId w:val="1011"/>
        </w:numPr>
        <w:pStyle w:val="Compact"/>
      </w:pPr>
      <w:r>
        <w:rPr>
          <w:bCs/>
          <w:b/>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numPr>
          <w:ilvl w:val="0"/>
          <w:numId w:val="1011"/>
        </w:numPr>
        <w:pStyle w:val="Compact"/>
      </w:pPr>
      <w:r>
        <w:rPr>
          <w:bCs/>
          <w:b/>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p>
      <w:pPr>
        <w:pStyle w:val="FirstParagraph"/>
      </w:pPr>
      <w:r>
        <w:rPr>
          <w:bCs/>
          <w:b/>
        </w:rPr>
        <w:t xml:space="preserve">The operational tell that this is working:</w:t>
      </w:r>
      <w:r>
        <w:t xml:space="preserve"> </w:t>
      </w:r>
      <w:r>
        <w:t xml:space="preserve">certificate expiry disappears as an incident category, and certificate</w:t>
      </w:r>
      <w:r>
        <w:t xml:space="preserve"> </w:t>
      </w:r>
      <w:r>
        <w:rPr>
          <w:iCs/>
          <w:i/>
        </w:rPr>
        <w:t xml:space="preserve">questions</w:t>
      </w:r>
      <w:r>
        <w:t xml:space="preserve"> </w:t>
      </w:r>
      <w:r>
        <w:t xml:space="preserve">become DNS queries.</w:t>
      </w:r>
      <w:r>
        <w:t xml:space="preserve"> </w:t>
      </w:r>
      <w:r>
        <w:t xml:space="preserve">“</w:t>
      </w:r>
      <w:r>
        <w:t xml:space="preserve">What is presenting on this name, issued by whom, expiring when?</w:t>
      </w:r>
      <w:r>
        <w:t xml:space="preserve">”</w:t>
      </w:r>
      <w:r>
        <w:t xml:space="preserve"> </w:t>
      </w:r>
      <w:r>
        <w:t xml:space="preserve">is answered by the naming plane in one lookup — because issuance was never allowed to happen anywhere else.</w:t>
      </w:r>
    </w:p>
    <w:bookmarkEnd w:id="50"/>
    <w:bookmarkEnd w:id="51"/>
    <w:bookmarkStart w:id="59" w:name="Xc9df5656c1d4a669725636b29f1a4c4eceb5ea4"/>
    <w:p>
      <w:pPr>
        <w:pStyle w:val="Heading1"/>
      </w:pPr>
      <w:r>
        <w:t xml:space="preserve">Token-Based Identity — OAuth 2.0, OIDC, and Phishing-Resistant MFA</w:t>
      </w:r>
    </w:p>
    <w:bookmarkStart w:id="52" w:name="the-token-inverts-the-trust-model"/>
    <w:p>
      <w:pPr>
        <w:pStyle w:val="Heading2"/>
      </w:pPr>
      <w:r>
        <w:t xml:space="preserve">The Token Inverts the Trust Model</w:t>
      </w:r>
    </w:p>
    <w:p>
      <w:pPr>
        <w:pStyle w:val="FirstParagraph"/>
      </w:pPr>
      <w:r>
        <w:t xml:space="preserve">Session-based authentication asks the</w:t>
      </w:r>
      <w:r>
        <w:t xml:space="preserve"> </w:t>
      </w:r>
      <w:r>
        <w:rPr>
          <w:iCs/>
          <w:i/>
        </w:rPr>
        <w:t xml:space="preserve">network</w:t>
      </w:r>
      <w:r>
        <w:t xml:space="preserve"> </w:t>
      </w:r>
      <w:r>
        <w:t xml:space="preserve">to vouch for continuity: the service trusts that the connection it authenticated is the connection still talking. Token-based authentication asks</w:t>
      </w:r>
      <w:r>
        <w:t xml:space="preserve"> </w:t>
      </w:r>
      <w:r>
        <w:rPr>
          <w:iCs/>
          <w:i/>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6">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numPr>
          <w:ilvl w:val="0"/>
          <w:numId w:val="1012"/>
        </w:numPr>
        <w:pStyle w:val="Compact"/>
      </w:pPr>
      <w:r>
        <w:rPr>
          <w:bCs/>
          <w:b/>
        </w:rPr>
        <w:t xml:space="preserve">Path independence.</w:t>
      </w:r>
      <w:r>
        <w:t xml:space="preserve"> </w:t>
      </w:r>
      <w:r>
        <w:t xml:space="preserve">The token is valid on any path, across any number of path switches, through any NAT. Nothing about its validity references the network.</w:t>
      </w:r>
    </w:p>
    <w:p>
      <w:pPr>
        <w:numPr>
          <w:ilvl w:val="0"/>
          <w:numId w:val="1012"/>
        </w:numPr>
        <w:pStyle w:val="Compact"/>
      </w:pPr>
      <w:r>
        <w:rPr>
          <w:bCs/>
          <w:b/>
        </w:rPr>
        <w:t xml:space="preserve">Verification without callback.</w:t>
      </w:r>
      <w:r>
        <w:t xml:space="preserve"> </w:t>
      </w:r>
      <w:r>
        <w:t xml:space="preserve">The service validates a signature; it does not open a connection to a domain controller. The sub-5 ms location binding is gone.</w:t>
      </w:r>
    </w:p>
    <w:p>
      <w:pPr>
        <w:numPr>
          <w:ilvl w:val="0"/>
          <w:numId w:val="1012"/>
        </w:numPr>
        <w:pStyle w:val="Compact"/>
      </w:pPr>
      <w:r>
        <w:rPr>
          <w:bCs/>
          <w:b/>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Cs/>
          <w:i/>
        </w:rPr>
        <w:t xml:space="preserve">before</w:t>
      </w:r>
      <w:r>
        <w:t xml:space="preserve"> </w:t>
      </w:r>
      <w:r>
        <w:t xml:space="preserve">signing. Conditional access is the policy-enforcement plane consuming identity-plane truth — the plane separation the series hierarchy requires.</w:t>
      </w:r>
    </w:p>
    <w:p>
      <w:pPr>
        <w:numPr>
          <w:ilvl w:val="0"/>
          <w:numId w:val="1012"/>
        </w:numPr>
        <w:pStyle w:val="Compact"/>
      </w:pPr>
      <w:r>
        <w:rPr>
          <w:bCs/>
          <w:b/>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52"/>
    <w:bookmarkStart w:id="53" w:name="the-anatomy-of-the-token-layer"/>
    <w:p>
      <w:pPr>
        <w:pStyle w:val="Heading2"/>
      </w:pPr>
      <w:r>
        <w:t xml:space="preserve">The Anatomy of the Token Layer</w:t>
      </w:r>
    </w:p>
    <w:p>
      <w:pPr>
        <w:pStyle w:val="FirstParagraph"/>
      </w:pPr>
      <w:r>
        <w:t xml:space="preserve">“</w:t>
      </w:r>
      <w:r>
        <w:t xml:space="preserve">Token</w:t>
      </w:r>
      <w:r>
        <w:t xml:space="preserve">”</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 {.striped .hover}</w:t>
      </w:r>
    </w:p>
    <w:tbl>
      <w:tblPr>
        <w:tblStyle w:val="Table"/>
        <w:tblW w:type="pct" w:w="5000"/>
        <w:tblLook w:firstRow="1" w:lastRow="0" w:firstColumn="0" w:lastColumn="0" w:noHBand="0" w:noVBand="0" w:val="0020"/>
        <w:jc w:val="start"/>
        <w:tblCaption w:val="The three token artifacts and their theft economics {.striped .hover}"/>
      </w:tblPr>
      <w:tblGrid>
        <w:gridCol w:w="1584"/>
        <w:gridCol w:w="1584"/>
        <w:gridCol w:w="1584"/>
        <w:gridCol w:w="1584"/>
        <w:gridCol w:w="1584"/>
      </w:tblGrid>
      <w:tr>
        <w:trPr>
          <w:tblHeader w:val="true"/>
        </w:trPr>
        <w:tc>
          <w:tcPr/>
          <w:p>
            <w:pPr>
              <w:pStyle w:val="Compact"/>
              <w:jc w:val="left"/>
            </w:pPr>
            <w:r>
              <w:t xml:space="preserve">Artifact</w:t>
            </w:r>
          </w:p>
        </w:tc>
        <w:tc>
          <w:tcPr/>
          <w:p>
            <w:pPr>
              <w:pStyle w:val="Compact"/>
              <w:jc w:val="left"/>
            </w:pPr>
            <w:r>
              <w:t xml:space="preserve">Asserts</w:t>
            </w:r>
          </w:p>
        </w:tc>
        <w:tc>
          <w:tcPr/>
          <w:p>
            <w:pPr>
              <w:pStyle w:val="Compact"/>
              <w:jc w:val="left"/>
            </w:pPr>
            <w:r>
              <w:t xml:space="preserve">Presented To</w:t>
            </w:r>
          </w:p>
        </w:tc>
        <w:tc>
          <w:tcPr/>
          <w:p>
            <w:pPr>
              <w:pStyle w:val="Compact"/>
              <w:jc w:val="left"/>
            </w:pPr>
            <w:r>
              <w:t xml:space="preserve">Lifetime Posture</w:t>
            </w:r>
          </w:p>
        </w:tc>
        <w:tc>
          <w:tcPr/>
          <w:p>
            <w:pPr>
              <w:pStyle w:val="Compact"/>
              <w:jc w:val="left"/>
            </w:pPr>
            <w:r>
              <w:t xml:space="preserve">If Stolen</w:t>
            </w:r>
          </w:p>
        </w:tc>
      </w:tr>
      <w:tr>
        <w:tc>
          <w:tcPr/>
          <w:p>
            <w:pPr>
              <w:pStyle w:val="Compact"/>
              <w:jc w:val="left"/>
            </w:pPr>
            <w:r>
              <w:rPr>
                <w:bCs/>
                <w:b/>
              </w:rPr>
              <w:t xml:space="preserve">ID token</w:t>
            </w:r>
            <w:r>
              <w:t xml:space="preserve"> </w:t>
            </w:r>
            <w:r>
              <w:t xml:space="preserve">(OIDC)</w:t>
            </w:r>
          </w:p>
        </w:tc>
        <w:tc>
          <w:tcPr/>
          <w:p>
            <w:pPr>
              <w:pStyle w:val="Compact"/>
              <w:jc w:val="left"/>
            </w:pPr>
            <w:r>
              <w:t xml:space="preserve">Who authenticated, how, and when — the authentication event itself</w:t>
            </w:r>
          </w:p>
        </w:tc>
        <w:tc>
          <w:tcPr/>
          <w:p>
            <w:pPr>
              <w:pStyle w:val="Compact"/>
              <w:jc w:val="left"/>
            </w:pPr>
            <w:r>
              <w:t xml:space="preserve">The requesting application, once</w:t>
            </w:r>
          </w:p>
        </w:tc>
        <w:tc>
          <w:tcPr/>
          <w:p>
            <w:pPr>
              <w:pStyle w:val="Compact"/>
              <w:jc w:val="left"/>
            </w:pPr>
            <w:r>
              <w:t xml:space="preserve">Minutes; consumed at sign-in</w:t>
            </w:r>
          </w:p>
        </w:tc>
        <w:tc>
          <w:tcPr/>
          <w:p>
            <w:pPr>
              <w:pStyle w:val="Compact"/>
              <w:jc w:val="left"/>
            </w:pPr>
            <w:r>
              <w:t xml:space="preserve">Low direct value; not an access credential</w:t>
            </w:r>
          </w:p>
        </w:tc>
      </w:tr>
      <w:tr>
        <w:tc>
          <w:tcPr/>
          <w:p>
            <w:pPr>
              <w:pStyle w:val="Compact"/>
              <w:jc w:val="left"/>
            </w:pPr>
            <w:r>
              <w:rPr>
                <w:bCs/>
                <w:b/>
              </w:rPr>
              <w:t xml:space="preserve">Access token</w:t>
            </w:r>
            <w:r>
              <w:t xml:space="preserve"> </w:t>
            </w:r>
            <w:r>
              <w:t xml:space="preserve">(OAuth 2.0)</w:t>
            </w:r>
          </w:p>
        </w:tc>
        <w:tc>
          <w:tcPr/>
          <w:p>
            <w:pPr>
              <w:pStyle w:val="Compact"/>
              <w:jc w:val="left"/>
            </w:pPr>
            <w:r>
              <w:t xml:space="preserve">What the bearer may do against one resource, for a bounded window</w:t>
            </w:r>
          </w:p>
        </w:tc>
        <w:tc>
          <w:tcPr/>
          <w:p>
            <w:pPr>
              <w:pStyle w:val="Compact"/>
              <w:jc w:val="left"/>
            </w:pPr>
            <w:r>
              <w:t xml:space="preserve">The resource (API, database, service) on every call</w:t>
            </w:r>
          </w:p>
        </w:tc>
        <w:tc>
          <w:tcPr/>
          <w:p>
            <w:pPr>
              <w:pStyle w:val="Compact"/>
              <w:jc w:val="left"/>
            </w:pPr>
            <w:r>
              <w:t xml:space="preserve">Short — typically around an hour, shorter for sensitive scopes</w:t>
            </w:r>
          </w:p>
        </w:tc>
        <w:tc>
          <w:tcPr/>
          <w:p>
            <w:pPr>
              <w:pStyle w:val="Compact"/>
              <w:jc w:val="left"/>
            </w:pPr>
            <w:r>
              <w:t xml:space="preserve">Usable until expiry; the reason lifetimes stay short and scopes stay narrow</w:t>
            </w:r>
          </w:p>
        </w:tc>
      </w:tr>
      <w:tr>
        <w:tc>
          <w:tcPr/>
          <w:p>
            <w:pPr>
              <w:pStyle w:val="Compact"/>
              <w:jc w:val="left"/>
            </w:pPr>
            <w:r>
              <w:rPr>
                <w:bCs/>
                <w:b/>
              </w:rPr>
              <w:t xml:space="preserve">Refresh token</w:t>
            </w:r>
          </w:p>
        </w:tc>
        <w:tc>
          <w:tcPr/>
          <w:p>
            <w:pPr>
              <w:pStyle w:val="Compact"/>
              <w:jc w:val="left"/>
            </w:pPr>
            <w:r>
              <w:t xml:space="preserve">The right to obtain new access tokens without re-authentication</w:t>
            </w:r>
          </w:p>
        </w:tc>
        <w:tc>
          <w:tcPr/>
          <w:p>
            <w:pPr>
              <w:pStyle w:val="Compact"/>
              <w:jc w:val="left"/>
            </w:pPr>
            <w:r>
              <w:t xml:space="preserve">Only the identity provider</w:t>
            </w:r>
          </w:p>
        </w:tc>
        <w:tc>
          <w:tcPr/>
          <w:p>
            <w:pPr>
              <w:pStyle w:val="Compact"/>
              <w:jc w:val="left"/>
            </w:pPr>
            <w:r>
              <w:t xml:space="preserve">Long-lived but revocable, bound to the client and evaluated against policy at every redemption</w:t>
            </w:r>
          </w:p>
        </w:tc>
        <w:tc>
          <w:tcPr/>
          <w:p>
            <w:pPr>
              <w:pStyle w:val="Compact"/>
              <w:jc w:val="left"/>
            </w:pPr>
            <w:r>
              <w:t xml:space="preserve">The high-value target; every redemption re-enters the policy gate, so revocation and risk signals cut it off</w:t>
            </w:r>
          </w:p>
        </w:tc>
      </w:tr>
    </w:tbl>
    <w:p>
      <w:pPr>
        <w:pStyle w:val="BodyText"/>
      </w:pPr>
      <w:r>
        <w:t xml:space="preserve">Two engineering consequences follow. First,</w:t>
      </w:r>
      <w:r>
        <w:t xml:space="preserve"> </w:t>
      </w:r>
      <w:r>
        <w:rPr>
          <w:bCs/>
          <w:b/>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Cs/>
          <w:b/>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Cs/>
          <w:i/>
        </w:rPr>
        <w:t xml:space="preserve">because</w:t>
      </w:r>
      <w:r>
        <w:t xml:space="preserve"> </w:t>
      </w:r>
      <w:r>
        <w:t xml:space="preserve">verification was built against the published set, not against a hardcoded key — the same</w:t>
      </w:r>
      <w:r>
        <w:t xml:space="preserve"> </w:t>
      </w:r>
      <w:r>
        <w:t xml:space="preserve">“</w:t>
      </w:r>
      <w:r>
        <w:t xml:space="preserve">automation, not custody</w:t>
      </w:r>
      <w:r>
        <w:t xml:space="preserve">”</w:t>
      </w:r>
      <w:r>
        <w:t xml:space="preserve"> </w:t>
      </w:r>
      <w:r>
        <w:t xml:space="preserve">doctrine, applied to the trust fabric itself.</w:t>
      </w:r>
    </w:p>
    <w:bookmarkEnd w:id="53"/>
    <w:bookmarkStart w:id="57" w:name="X684e9ee19c24f738fc994fe89cb5ac707432084"/>
    <w:p>
      <w:pPr>
        <w:pStyle w:val="Heading2"/>
      </w:pPr>
      <w:r>
        <w:t xml:space="preserve">Certificate-Based Authentication and Phishing-Resistant MFA</w:t>
      </w:r>
    </w:p>
    <w:p>
      <w:pPr>
        <w:pStyle w:val="FirstParagraph"/>
      </w:pPr>
      <w:r>
        <w:t xml:space="preserve">Tokens answer</w:t>
      </w:r>
      <w:r>
        <w:t xml:space="preserve"> </w:t>
      </w:r>
      <w:r>
        <w:rPr>
          <w:iCs/>
          <w:i/>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w:t>
      </w:r>
      <w:r>
        <w:t xml:space="preserve">Phishing-resistant</w:t>
      </w:r>
      <w:r>
        <w:t xml:space="preserve">”</w:t>
      </w:r>
      <w:r>
        <w:t xml:space="preserve"> </w:t>
      </w:r>
      <w:r>
        <w:t xml:space="preserve">is a protocol property, not a marketing adjective. It means</w:t>
      </w:r>
      <w:r>
        <w:t xml:space="preserve"> </w:t>
      </w:r>
      <w:r>
        <w:rPr>
          <w:bCs/>
          <w:b/>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 {.striped .hover}</w:t>
      </w:r>
    </w:p>
    <w:tbl>
      <w:tblPr>
        <w:tblStyle w:val="Table"/>
        <w:tblW w:type="pct" w:w="5000"/>
        <w:tblLook w:firstRow="1" w:lastRow="0" w:firstColumn="0" w:lastColumn="0" w:noHBand="0" w:noVBand="0" w:val="0020"/>
        <w:jc w:val="start"/>
        <w:tblCaption w:val="Credential families and verifier-impersonation resistance {.striped .hover}"/>
      </w:tblPr>
      <w:tblGrid>
        <w:gridCol w:w="2640"/>
        <w:gridCol w:w="2640"/>
        <w:gridCol w:w="2640"/>
      </w:tblGrid>
      <w:tr>
        <w:trPr>
          <w:tblHeader w:val="true"/>
        </w:trPr>
        <w:tc>
          <w:tcPr/>
          <w:p>
            <w:pPr>
              <w:pStyle w:val="Compact"/>
              <w:jc w:val="left"/>
            </w:pPr>
            <w:r>
              <w:t xml:space="preserve">Credential</w:t>
            </w:r>
          </w:p>
        </w:tc>
        <w:tc>
          <w:tcPr/>
          <w:p>
            <w:pPr>
              <w:pStyle w:val="Compact"/>
              <w:jc w:val="left"/>
            </w:pPr>
            <w:r>
              <w:t xml:space="preserve">Mechanism</w:t>
            </w:r>
          </w:p>
        </w:tc>
        <w:tc>
          <w:tcPr/>
          <w:p>
            <w:pPr>
              <w:pStyle w:val="Compact"/>
              <w:jc w:val="left"/>
            </w:pPr>
            <w:r>
              <w:t xml:space="preserve">Why It Cannot Be Phished</w:t>
            </w:r>
          </w:p>
        </w:tc>
      </w:tr>
      <w:tr>
        <w:tc>
          <w:tcPr/>
          <w:p>
            <w:pPr>
              <w:pStyle w:val="Compact"/>
              <w:jc w:val="left"/>
            </w:pPr>
            <w:r>
              <w:rPr>
                <w:bCs/>
                <w:b/>
              </w:rPr>
              <w:t xml:space="preserve">PIV / smart card (certificate-based authentication)</w:t>
            </w:r>
          </w:p>
        </w:tc>
        <w:tc>
          <w:tcPr/>
          <w:p>
            <w:pPr>
              <w:pStyle w:val="Compact"/>
              <w:jc w:val="left"/>
            </w:pPr>
            <w:r>
              <w:t xml:space="preserve">Private key on hardware token; authentication is a signature over a challenge bound to the TLS channel</w:t>
            </w:r>
          </w:p>
        </w:tc>
        <w:tc>
          <w:tcPr/>
          <w:p>
            <w:pPr>
              <w:pStyle w:val="Compact"/>
              <w:jc w:val="left"/>
            </w:pPr>
            <w:r>
              <w:t xml:space="preserve">The key never leaves the card; a proxied challenge fails channel binding; there is no shared secret to capture</w:t>
            </w:r>
          </w:p>
        </w:tc>
      </w:tr>
      <w:tr>
        <w:tc>
          <w:tcPr/>
          <w:p>
            <w:pPr>
              <w:pStyle w:val="Compact"/>
              <w:jc w:val="left"/>
            </w:pPr>
            <w:r>
              <w:rPr>
                <w:bCs/>
                <w:b/>
              </w:rPr>
              <w:t xml:space="preserve">FIDO2 / WebAuthn platform or roaming authenticator</w:t>
            </w:r>
          </w:p>
        </w:tc>
        <w:tc>
          <w:tcPr/>
          <w:p>
            <w:pPr>
              <w:pStyle w:val="Compact"/>
              <w:jc w:val="left"/>
            </w:pPr>
            <w:r>
              <w:t xml:space="preserve">Origin-bound key pair per relying party; the browser signs the</w:t>
            </w:r>
            <w:r>
              <w:t xml:space="preserve"> </w:t>
            </w:r>
            <w:r>
              <w:rPr>
                <w:iCs/>
                <w:i/>
              </w:rPr>
              <w:t xml:space="preserve">actual</w:t>
            </w:r>
            <w:r>
              <w:t xml:space="preserve"> </w:t>
            </w:r>
            <w:r>
              <w:t xml:space="preserve">origin into the assertion</w:t>
            </w:r>
          </w:p>
        </w:tc>
        <w:tc>
          <w:tcPr/>
          <w:p>
            <w:pPr>
              <w:pStyle w:val="Compact"/>
              <w:jc w:val="left"/>
            </w:pPr>
            <w:r>
              <w:t xml:space="preserve">A credential registered to the legitimate origin produces an assertion a look-alike origin cannot use; the phishing site receives a signature for the wrong name</w:t>
            </w:r>
          </w:p>
        </w:tc>
      </w:tr>
      <w:tr>
        <w:tc>
          <w:tcPr/>
          <w:p>
            <w:pPr>
              <w:pStyle w:val="Compact"/>
              <w:jc w:val="left"/>
            </w:pPr>
            <w:r>
              <w:t xml:space="preserve">One-time passcodes, push approval, SMS</w:t>
            </w:r>
          </w:p>
        </w:tc>
        <w:tc>
          <w:tcPr/>
          <w:p>
            <w:pPr>
              <w:pStyle w:val="Compact"/>
              <w:jc w:val="left"/>
            </w:pPr>
            <w:r>
              <w:t xml:space="preserve">Shared secret or human approval relayed out of band</w:t>
            </w:r>
          </w:p>
        </w:tc>
        <w:tc>
          <w:tcPr/>
          <w:p>
            <w:pPr>
              <w:pStyle w:val="Compact"/>
              <w:jc w:val="left"/>
            </w:pPr>
            <w:r>
              <w:rPr>
                <w:iCs/>
                <w:i/>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Cs/>
          <w:b/>
        </w:rPr>
        <w:t xml:space="preserve">they are certificates and key pairs.</w:t>
      </w:r>
      <w:r>
        <w:t xml:space="preserve"> </w:t>
      </w:r>
      <w:r>
        <w:t xml:space="preserve">Certificate-based authentication</w:t>
      </w:r>
      <w:r>
        <w:t xml:space="preserve"> </w:t>
      </w:r>
      <w:r>
        <w:rPr>
          <w:iCs/>
          <w:i/>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p>
      <w:pPr>
        <w:pStyle w:val="CaptionedFigure"/>
      </w:pPr>
      <w:r>
        <w:drawing>
          <wp:inline>
            <wp:extent cx="5334000" cy="3000375"/>
            <wp:effectExtent b="0" l="0" r="0" t="0"/>
            <wp:docPr descr="Token issuance as the policy gate: phishing-resistant credential in, signed path-independent assertion out" title="" id="55" name="Picture"/>
            <a:graphic>
              <a:graphicData uri="http://schemas.openxmlformats.org/drawingml/2006/picture">
                <pic:pic>
                  <pic:nvPicPr>
                    <pic:cNvPr descr="figs/ct-fig-04-token-issuance-gate.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Token issuance as the policy gate: phishing-resistant credential in, signed path-independent assertion out</w:t>
      </w:r>
    </w:p>
    <w:bookmarkEnd w:id="57"/>
    <w:bookmarkStart w:id="58" w:name="Xc3e4f9fdf11dcde1ed46022047cade5018f29af"/>
    <w:p>
      <w:pPr>
        <w:pStyle w:val="Heading2"/>
      </w:pPr>
      <w:r>
        <w:t xml:space="preserve">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Cs/>
          <w:i/>
        </w:rPr>
        <w:t xml:space="preserve">token</w:t>
      </w:r>
      <w:r>
        <w:t xml:space="preserve"> </w:t>
      </w:r>
      <w:r>
        <w:t xml:space="preserve">— from process memory, from a compromised endpoint, from an intercepted session. Honest accounting requires stating both halves:</w:t>
      </w:r>
    </w:p>
    <w:p>
      <w:pPr>
        <w:numPr>
          <w:ilvl w:val="0"/>
          <w:numId w:val="1013"/>
        </w:numPr>
        <w:pStyle w:val="Compact"/>
      </w:pPr>
      <w:r>
        <w:rPr>
          <w:bCs/>
          <w:b/>
        </w:rPr>
        <w:t xml:space="preserve">The exposure is real.</w:t>
      </w:r>
      <w:r>
        <w:t xml:space="preserve"> </w:t>
      </w:r>
      <w:r>
        <w:t xml:space="preserve">A bearer token is usable by whoever bears it. Stolen access tokens work until expiry; stolen refresh tokens work until revoked or rejected by policy.</w:t>
      </w:r>
    </w:p>
    <w:p>
      <w:pPr>
        <w:numPr>
          <w:ilvl w:val="0"/>
          <w:numId w:val="1013"/>
        </w:numPr>
        <w:pStyle w:val="Compact"/>
      </w:pPr>
      <w:r>
        <w:rPr>
          <w:bCs/>
          <w:b/>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numPr>
          <w:ilvl w:val="0"/>
          <w:numId w:val="1013"/>
        </w:numPr>
        <w:pStyle w:val="Compact"/>
      </w:pPr>
      <w:r>
        <w:rPr>
          <w:bCs/>
          <w:b/>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w:t>
      </w:r>
      <w:r>
        <w:t xml:space="preserve">tokens cannot be stolen.</w:t>
      </w:r>
      <w:r>
        <w:t xml:space="preserve">”</w:t>
      </w:r>
      <w:r>
        <w:t xml:space="preserve"> </w:t>
      </w:r>
      <w:r>
        <w:t xml:space="preserve">It is:</w:t>
      </w:r>
      <w:r>
        <w:t xml:space="preserve"> </w:t>
      </w:r>
      <w:r>
        <w:rPr>
          <w:bCs/>
          <w:b/>
        </w:rPr>
        <w:t xml:space="preserve">the token architecture bounds what theft buys — in scope, in time, and in silence — and each bound is a protocol property, not a promise.</w:t>
      </w:r>
    </w:p>
    <w:p>
      <w:pPr>
        <w:pStyle w:val="BlockText"/>
      </w:pPr>
      <w:r>
        <w:rPr>
          <w:bCs/>
          <w:b/>
        </w:rPr>
        <w:t xml:space="preserve">The dependency that makes this a series, not a shopping list:</w:t>
      </w:r>
      <w:r>
        <w:t xml:space="preserve"> </w:t>
      </w:r>
      <w:r>
        <w:t xml:space="preserve">the token asserts authorizations; the authorizations must be</w:t>
      </w:r>
      <w:r>
        <w:t xml:space="preserve"> </w:t>
      </w:r>
      <w:r>
        <w:rPr>
          <w:iCs/>
          <w:i/>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58"/>
    <w:bookmarkEnd w:id="59"/>
    <w:bookmarkStart w:id="60" w:name="federal-policy-alignment"/>
    <w:p>
      <w:pPr>
        <w:pStyle w:val="Heading1"/>
      </w:pPr>
      <w:r>
        <w:t xml:space="preserve">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 {.striped .hover}</w:t>
      </w:r>
    </w:p>
    <w:tbl>
      <w:tblPr>
        <w:tblStyle w:val="Table"/>
        <w:tblW w:type="pct" w:w="5000"/>
        <w:tblLook w:firstRow="1" w:lastRow="0" w:firstColumn="0" w:lastColumn="0" w:noHBand="0" w:noVBand="0" w:val="0020"/>
        <w:jc w:val="start"/>
        <w:tblCaption w:val="Directive-to-mechanism mapping for the cryptographic identity layer {.striped .hover}"/>
      </w:tblPr>
      <w:tblGrid>
        <w:gridCol w:w="2640"/>
        <w:gridCol w:w="2640"/>
        <w:gridCol w:w="2640"/>
      </w:tblGrid>
      <w:tr>
        <w:trPr>
          <w:tblHeader w:val="true"/>
        </w:trPr>
        <w:tc>
          <w:tcPr/>
          <w:p>
            <w:pPr>
              <w:pStyle w:val="Compact"/>
              <w:jc w:val="left"/>
            </w:pPr>
            <w:r>
              <w:t xml:space="preserve">Directive / Framework</w:t>
            </w:r>
          </w:p>
        </w:tc>
        <w:tc>
          <w:tcPr/>
          <w:p>
            <w:pPr>
              <w:pStyle w:val="Compact"/>
              <w:jc w:val="left"/>
            </w:pPr>
            <w:r>
              <w:t xml:space="preserve">What It Requires</w:t>
            </w:r>
          </w:p>
        </w:tc>
        <w:tc>
          <w:tcPr/>
          <w:p>
            <w:pPr>
              <w:pStyle w:val="Compact"/>
              <w:jc w:val="left"/>
            </w:pPr>
            <w:r>
              <w:t xml:space="preserve">What in This Book Satisfies It</w:t>
            </w:r>
          </w:p>
        </w:tc>
      </w:tr>
      <w:tr>
        <w:tc>
          <w:tcPr/>
          <w:p>
            <w:pPr>
              <w:pStyle w:val="Compact"/>
              <w:jc w:val="left"/>
            </w:pPr>
            <w:r>
              <w:rPr>
                <w:bCs/>
                <w:b/>
              </w:rPr>
              <w:t xml:space="preserve">OMB M-22-09</w:t>
            </w:r>
            <w:r>
              <w:t xml:space="preserve"> </w:t>
            </w:r>
            <w:r>
              <w:t xml:space="preserve">(Federal Zero Trust Strategy)</w:t>
            </w:r>
          </w:p>
        </w:tc>
        <w:tc>
          <w:tcPr/>
          <w:p>
            <w:pPr>
              <w:pStyle w:val="Compact"/>
              <w:jc w:val="left"/>
            </w:pPr>
            <w:r>
              <w:t xml:space="preserve">Phishing-resistant MFA for agency staff, contractors, and partners; enterprise identity systems; per-request authorization</w:t>
            </w:r>
          </w:p>
        </w:tc>
        <w:tc>
          <w:tcPr/>
          <w:p>
            <w:pPr>
              <w:pStyle w:val="Compact"/>
              <w:jc w:val="left"/>
            </w:pPr>
            <w:r>
              <w:t xml:space="preserve">PIV/CBA and FIDO2 as the enforced credential families; token issuance as the per-request policy gate</w:t>
            </w:r>
          </w:p>
        </w:tc>
      </w:tr>
      <w:tr>
        <w:tc>
          <w:tcPr/>
          <w:p>
            <w:pPr>
              <w:pStyle w:val="Compact"/>
              <w:jc w:val="left"/>
            </w:pPr>
            <w:r>
              <w:rPr>
                <w:bCs/>
                <w:b/>
              </w:rPr>
              <w:t xml:space="preserve">CISA BOD 25-01</w:t>
            </w:r>
            <w:r>
              <w:t xml:space="preserve"> </w:t>
            </w:r>
            <w:r>
              <w:t xml:space="preserve">(Implementing Secure Practices for Cloud Services)</w:t>
            </w:r>
          </w:p>
        </w:tc>
        <w:tc>
          <w:tcPr/>
          <w:p>
            <w:pPr>
              <w:pStyle w:val="Compact"/>
              <w:jc w:val="left"/>
            </w:pPr>
            <w:r>
              <w:t xml:space="preserve">SCuBA secure configuration baselines for the federal cloud productivity estate, including modern authentication and retirement of legacy protocols</w:t>
            </w:r>
          </w:p>
        </w:tc>
        <w:tc>
          <w:tcPr/>
          <w:p>
            <w:pPr>
              <w:pStyle w:val="Compact"/>
              <w:jc w:val="left"/>
            </w:pPr>
            <w:r>
              <w:t xml:space="preserve">Phase 3’s legacy-authentication shutdown; token-based authentication as the only remaining path through the identity provider</w:t>
            </w:r>
          </w:p>
        </w:tc>
      </w:tr>
      <w:tr>
        <w:tc>
          <w:tcPr/>
          <w:p>
            <w:pPr>
              <w:pStyle w:val="Compact"/>
              <w:jc w:val="left"/>
            </w:pPr>
            <w:r>
              <w:rPr>
                <w:bCs/>
                <w:b/>
              </w:rPr>
              <w:t xml:space="preserve">NIST SP 800-207</w:t>
            </w:r>
            <w:r>
              <w:t xml:space="preserve"> </w:t>
            </w:r>
            <w:r>
              <w:t xml:space="preserve">(Zero Trust Architecture)</w:t>
            </w:r>
          </w:p>
        </w:tc>
        <w:tc>
          <w:tcPr/>
          <w:p>
            <w:pPr>
              <w:pStyle w:val="Compact"/>
              <w:jc w:val="left"/>
            </w:pPr>
            <w:r>
              <w:t xml:space="preserve">Access decided per-session by policy, using identity, device, and context signals; no implicit trust from network location</w:t>
            </w:r>
          </w:p>
        </w:tc>
        <w:tc>
          <w:tcPr/>
          <w:p>
            <w:pPr>
              <w:pStyle w:val="Compact"/>
              <w:jc w:val="left"/>
            </w:pPr>
            <w:r>
              <w:t xml:space="preserve">Tokens as the per-session decision artifact; device certificates (Book 02) surfaced as claims; location removed from the trust calculus entirely</w:t>
            </w:r>
          </w:p>
        </w:tc>
      </w:tr>
      <w:tr>
        <w:tc>
          <w:tcPr/>
          <w:p>
            <w:pPr>
              <w:pStyle w:val="Compact"/>
              <w:jc w:val="left"/>
            </w:pPr>
            <w:r>
              <w:rPr>
                <w:bCs/>
                <w:b/>
              </w:rPr>
              <w:t xml:space="preserve">NIST SP 800-63</w:t>
            </w:r>
            <w:r>
              <w:t xml:space="preserve"> </w:t>
            </w:r>
            <w:r>
              <w:t xml:space="preserve">(Digital Identity Guidelines)</w:t>
            </w:r>
          </w:p>
        </w:tc>
        <w:tc>
          <w:tcPr/>
          <w:p>
            <w:pPr>
              <w:pStyle w:val="Compact"/>
              <w:jc w:val="left"/>
            </w:pPr>
            <w:r>
              <w:t xml:space="preserve">Authenticator assurance levels; verifier-impersonation resistance at the highest assurance level</w:t>
            </w:r>
          </w:p>
        </w:tc>
        <w:tc>
          <w:tcPr/>
          <w:p>
            <w:pPr>
              <w:pStyle w:val="Compact"/>
              <w:jc w:val="left"/>
            </w:pPr>
            <w:r>
              <w:t xml:space="preserve">Hardware-held, origin/channel-bound key pairs — the only authenticator class that satisfies verifier-impersonation resistance</w:t>
            </w:r>
          </w:p>
        </w:tc>
      </w:tr>
      <w:tr>
        <w:tc>
          <w:tcPr/>
          <w:p>
            <w:pPr>
              <w:pStyle w:val="Compact"/>
              <w:jc w:val="left"/>
            </w:pPr>
            <w:r>
              <w:rPr>
                <w:bCs/>
                <w:b/>
              </w:rPr>
              <w:t xml:space="preserve">CISA Zero Trust Maturity Model v2.0</w:t>
            </w:r>
            <w:r>
              <w:t xml:space="preserve"> </w:t>
            </w:r>
            <w:r>
              <w:t xml:space="preserve">— Identity pillar</w:t>
            </w:r>
          </w:p>
        </w:tc>
        <w:tc>
          <w:tcPr/>
          <w:p>
            <w:pPr>
              <w:pStyle w:val="Compact"/>
              <w:jc w:val="left"/>
            </w:pPr>
            <w:r>
              <w:t xml:space="preserve">Advanced/Optimal maturity requires phishing-resistant MFA and continuous validation with automated identity lifecycle</w:t>
            </w:r>
          </w:p>
        </w:tc>
        <w:tc>
          <w:tcPr/>
          <w:p>
            <w:pPr>
              <w:pStyle w:val="Compact"/>
              <w:jc w:val="left"/>
            </w:pPr>
            <w:r>
              <w:t xml:space="preserve">The full stack of this book: automated credential lifecycle, phishing-resistant enforcement, continuous access evaluation</w:t>
            </w:r>
          </w:p>
        </w:tc>
      </w:tr>
      <w:tr>
        <w:tc>
          <w:tcPr/>
          <w:p>
            <w:pPr>
              <w:pStyle w:val="Compact"/>
              <w:jc w:val="left"/>
            </w:pPr>
            <w:r>
              <w:rPr>
                <w:bCs/>
                <w:b/>
              </w:rPr>
              <w:t xml:space="preserve">FedRAMP 20x</w:t>
            </w:r>
            <w:r>
              <w:t xml:space="preserve"> </w:t>
            </w:r>
            <w:r>
              <w:t xml:space="preserve">(Consolidated Rules, 2026)</w:t>
            </w:r>
          </w:p>
        </w:tc>
        <w:tc>
          <w:tcPr/>
          <w:p>
            <w:pPr>
              <w:pStyle w:val="Compact"/>
              <w:jc w:val="left"/>
            </w:pPr>
            <w:r>
              <w:t xml:space="preserve">Continuous, machine-readable KSI evidence rather than periodic assessment</w:t>
            </w:r>
          </w:p>
        </w:tc>
        <w:tc>
          <w:tcPr/>
          <w:p>
            <w:pPr>
              <w:pStyle w:val="Compact"/>
              <w:jc w:val="left"/>
            </w:pPr>
            <w:r>
              <w:t xml:space="preserve">Every issuance, renewal, token grant, and policy evaluation is a structured event; the identity plane’s evidence stream binds to slot-01 (see KSI alignment below)</w:t>
            </w:r>
          </w:p>
        </w:tc>
      </w:tr>
    </w:tbl>
    <w:p>
      <w:pPr>
        <w:pStyle w:val="BodyText"/>
      </w:pPr>
      <w:r>
        <w:rPr>
          <w:bCs/>
          <w:b/>
        </w:rPr>
        <w:t xml:space="preserve">Reading the table honestly</w:t>
      </w:r>
      <w:r>
        <w:t xml:space="preserve"> </w:t>
      </w:r>
      <w:r>
        <w:t xml:space="preserve">— none of these directives names a product, and this book names products only as examples of functions. What the directives</w:t>
      </w:r>
      <w:r>
        <w:t xml:space="preserve"> </w:t>
      </w:r>
      <w:r>
        <w:rPr>
          <w:iCs/>
          <w:i/>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bookmarkEnd w:id="60"/>
    <w:bookmarkStart w:id="67" w:name="machine-and-workload-identity"/>
    <w:p>
      <w:pPr>
        <w:pStyle w:val="Heading1"/>
      </w:pPr>
      <w:r>
        <w:t xml:space="preserve">Machine and Workload Identity</w:t>
      </w:r>
    </w:p>
    <w:bookmarkStart w:id="64" w:name="the-non-human-majority"/>
    <w:p>
      <w:pPr>
        <w:pStyle w:val="Heading2"/>
      </w:pPr>
      <w:r>
        <w:t xml:space="preserve">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 {.striped .hover}</w:t>
      </w:r>
    </w:p>
    <w:tbl>
      <w:tblPr>
        <w:tblStyle w:val="Table"/>
        <w:tblW w:type="pct" w:w="5000"/>
        <w:tblLook w:firstRow="1" w:lastRow="0" w:firstColumn="0" w:lastColumn="0" w:noHBand="0" w:noVBand="0" w:val="0020"/>
        <w:jc w:val="start"/>
        <w:tblCaption w:val="The workload identity progression — each step removes a class of stored secret {.striped .hover}"/>
      </w:tblPr>
      <w:tblGrid>
        <w:gridCol w:w="1980"/>
        <w:gridCol w:w="1980"/>
        <w:gridCol w:w="1980"/>
        <w:gridCol w:w="1980"/>
      </w:tblGrid>
      <w:tr>
        <w:trPr>
          <w:tblHeader w:val="true"/>
        </w:trPr>
        <w:tc>
          <w:tcPr/>
          <w:p>
            <w:pPr>
              <w:pStyle w:val="Compact"/>
              <w:jc w:val="left"/>
            </w:pPr>
            <w:r>
              <w:t xml:space="preserve">Generation</w:t>
            </w:r>
          </w:p>
        </w:tc>
        <w:tc>
          <w:tcPr/>
          <w:p>
            <w:pPr>
              <w:pStyle w:val="Compact"/>
              <w:jc w:val="left"/>
            </w:pPr>
            <w:r>
              <w:t xml:space="preserve">Credential</w:t>
            </w:r>
          </w:p>
        </w:tc>
        <w:tc>
          <w:tcPr/>
          <w:p>
            <w:pPr>
              <w:pStyle w:val="Compact"/>
              <w:jc w:val="left"/>
            </w:pPr>
            <w:r>
              <w:t xml:space="preserve">What Still Exists to Steal</w:t>
            </w:r>
          </w:p>
        </w:tc>
        <w:tc>
          <w:tcPr/>
          <w:p>
            <w:pPr>
              <w:pStyle w:val="Compact"/>
              <w:jc w:val="left"/>
            </w:pPr>
            <w:r>
              <w:t xml:space="preserve">Residual Failure Mode</w:t>
            </w:r>
          </w:p>
        </w:tc>
      </w:tr>
      <w:tr>
        <w:tc>
          <w:tcPr/>
          <w:p>
            <w:pPr>
              <w:pStyle w:val="Compact"/>
              <w:jc w:val="left"/>
            </w:pPr>
            <w:r>
              <w:rPr>
                <w:bCs/>
                <w:b/>
              </w:rPr>
              <w:t xml:space="preserve">Service account</w:t>
            </w:r>
          </w:p>
        </w:tc>
        <w:tc>
          <w:tcPr/>
          <w:p>
            <w:pPr>
              <w:pStyle w:val="Compact"/>
              <w:jc w:val="left"/>
            </w:pPr>
            <w:r>
              <w:t xml:space="preserve">Password in configuration</w:t>
            </w:r>
          </w:p>
        </w:tc>
        <w:tc>
          <w:tcPr/>
          <w:p>
            <w:pPr>
              <w:pStyle w:val="Compact"/>
              <w:jc w:val="left"/>
            </w:pPr>
            <w:r>
              <w:t xml:space="preserve">The password, everywhere the configuration goes</w:t>
            </w:r>
          </w:p>
        </w:tc>
        <w:tc>
          <w:tcPr/>
          <w:p>
            <w:pPr>
              <w:pStyle w:val="Compact"/>
              <w:jc w:val="left"/>
            </w:pPr>
            <w:r>
              <w:t xml:space="preserve">Pass-the-hash, credential sprawl, rotation outages</w:t>
            </w:r>
          </w:p>
        </w:tc>
      </w:tr>
      <w:tr>
        <w:tc>
          <w:tcPr/>
          <w:p>
            <w:pPr>
              <w:pStyle w:val="Compact"/>
              <w:jc w:val="left"/>
            </w:pPr>
            <w:r>
              <w:rPr>
                <w:bCs/>
                <w:b/>
              </w:rPr>
              <w:t xml:space="preserve">Service principal with secret or certificate</w:t>
            </w:r>
          </w:p>
        </w:tc>
        <w:tc>
          <w:tcPr/>
          <w:p>
            <w:pPr>
              <w:pStyle w:val="Compact"/>
              <w:jc w:val="left"/>
            </w:pPr>
            <w:r>
              <w:t xml:space="preserve">Client secret or certificate held by the application</w:t>
            </w:r>
          </w:p>
        </w:tc>
        <w:tc>
          <w:tcPr/>
          <w:p>
            <w:pPr>
              <w:pStyle w:val="Compact"/>
              <w:jc w:val="left"/>
            </w:pPr>
            <w:r>
              <w:t xml:space="preserve">The secret/key material, in the application’s custody</w:t>
            </w:r>
          </w:p>
        </w:tc>
        <w:tc>
          <w:tcPr/>
          <w:p>
            <w:pPr>
              <w:pStyle w:val="Compact"/>
              <w:jc w:val="left"/>
            </w:pPr>
            <w:r>
              <w:t xml:space="preserve">Leaked secrets in code repositories; expiry outages</w:t>
            </w:r>
          </w:p>
        </w:tc>
      </w:tr>
      <w:tr>
        <w:tc>
          <w:tcPr/>
          <w:p>
            <w:pPr>
              <w:pStyle w:val="Compact"/>
              <w:jc w:val="left"/>
            </w:pPr>
            <w:r>
              <w:rPr>
                <w:bCs/>
                <w:b/>
              </w:rPr>
              <w:t xml:space="preserve">Managed identity</w:t>
            </w:r>
          </w:p>
        </w:tc>
        <w:tc>
          <w:tcPr/>
          <w:p>
            <w:pPr>
              <w:pStyle w:val="Compact"/>
              <w:jc w:val="left"/>
            </w:pPr>
            <w:r>
              <w:t xml:space="preserve">Platform-issued token; no credential in application custody</w:t>
            </w:r>
          </w:p>
        </w:tc>
        <w:tc>
          <w:tcPr/>
          <w:p>
            <w:pPr>
              <w:pStyle w:val="Compact"/>
              <w:jc w:val="left"/>
            </w:pPr>
            <w:r>
              <w:t xml:space="preserve">Nothing in the application; the platform attests the workload</w:t>
            </w:r>
          </w:p>
        </w:tc>
        <w:tc>
          <w:tcPr/>
          <w:p>
            <w:pPr>
              <w:pStyle w:val="Compact"/>
              <w:jc w:val="left"/>
            </w:pPr>
            <w:r>
              <w:t xml:space="preserve">Compromise requires compromising the workload itself — which is the irreducible case</w:t>
            </w:r>
          </w:p>
        </w:tc>
      </w:tr>
      <w:tr>
        <w:tc>
          <w:tcPr/>
          <w:p>
            <w:pPr>
              <w:pStyle w:val="Compact"/>
              <w:jc w:val="left"/>
            </w:pPr>
            <w:r>
              <w:rPr>
                <w:bCs/>
                <w:b/>
              </w:rPr>
              <w:t xml:space="preserve">Workload identity federation</w:t>
            </w:r>
          </w:p>
        </w:tc>
        <w:tc>
          <w:tcPr/>
          <w:p>
            <w:pPr>
              <w:pStyle w:val="Compact"/>
              <w:jc w:val="left"/>
            </w:pPr>
            <w:r>
              <w:t xml:space="preserve">External workload exchanges its own platform’s OIDC token for access; no secret crosses the boundary</w:t>
            </w:r>
          </w:p>
        </w:tc>
        <w:tc>
          <w:tcPr/>
          <w:p>
            <w:pPr>
              <w:pStyle w:val="Compact"/>
              <w:jc w:val="left"/>
            </w:pPr>
            <w:r>
              <w:t xml:space="preserve">Nothing stored on either side</w:t>
            </w:r>
          </w:p>
        </w:tc>
        <w:tc>
          <w:tcPr/>
          <w:p>
            <w:pPr>
              <w:pStyle w:val="Compact"/>
              <w:jc w:val="left"/>
            </w:pPr>
            <w:r>
              <w:t xml:space="preserve">Trust misconfiguration — governed as policy, not as secret custody</w:t>
            </w:r>
          </w:p>
        </w:tc>
      </w:tr>
    </w:tbl>
    <w:p>
      <w:pPr>
        <w:pStyle w:val="CaptionedFigure"/>
      </w:pPr>
      <w:r>
        <w:drawing>
          <wp:inline>
            <wp:extent cx="5334000" cy="3000375"/>
            <wp:effectExtent b="0" l="0" r="0" t="0"/>
            <wp:docPr descr="The workload identity progression from stored passwords to federated attestation" title="" id="62" name="Picture"/>
            <a:graphic>
              <a:graphicData uri="http://schemas.openxmlformats.org/drawingml/2006/picture">
                <pic:pic>
                  <pic:nvPicPr>
                    <pic:cNvPr descr="figs/ct-fig-05-workload-identity.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workload identity progression from stored passwords to federated attestation</w:t>
      </w:r>
    </w:p>
    <w:p>
      <w:pPr>
        <w:pStyle w:val="BodyText"/>
      </w:pPr>
      <w:r>
        <w:t xml:space="preserve">The direction of travel is the same one the SPIFFE model formalizes for platform-agnostic environments:</w:t>
      </w:r>
      <w:r>
        <w:t xml:space="preserve"> </w:t>
      </w:r>
      <w:r>
        <w:rPr>
          <w:bCs/>
          <w:b/>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Cs/>
          <w:i/>
        </w:rPr>
        <w:t xml:space="preserve">attested by the platform that runs it</w:t>
      </w:r>
      <w:r>
        <w:t xml:space="preserve">, at runtime, and expires in minutes. There is no secret to leak because there is no secret.</w:t>
      </w:r>
    </w:p>
    <w:bookmarkEnd w:id="64"/>
    <w:bookmarkStart w:id="65" w:name="where-keys-live"/>
    <w:p>
      <w:pPr>
        <w:pStyle w:val="Heading2"/>
      </w:pPr>
      <w:r>
        <w:t xml:space="preserve">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 {.striped .hover}</w:t>
      </w:r>
    </w:p>
    <w:tbl>
      <w:tblPr>
        <w:tblStyle w:val="Table"/>
        <w:tblW w:type="pct" w:w="5000"/>
        <w:tblLook w:firstRow="1" w:lastRow="0" w:firstColumn="0" w:lastColumn="0" w:noHBand="0" w:noVBand="0" w:val="0020"/>
        <w:jc w:val="start"/>
        <w:tblCaption w:val="Key storage descends in ceremony as lifetime descends in duration {.striped .hover}"/>
      </w:tblPr>
      <w:tblGrid>
        <w:gridCol w:w="1980"/>
        <w:gridCol w:w="1980"/>
        <w:gridCol w:w="1980"/>
        <w:gridCol w:w="1980"/>
      </w:tblGrid>
      <w:tr>
        <w:trPr>
          <w:tblHeader w:val="true"/>
        </w:trPr>
        <w:tc>
          <w:tcPr/>
          <w:p>
            <w:pPr>
              <w:pStyle w:val="Compact"/>
              <w:jc w:val="left"/>
            </w:pPr>
            <w:r>
              <w:t xml:space="preserve">Key Class</w:t>
            </w:r>
          </w:p>
        </w:tc>
        <w:tc>
          <w:tcPr/>
          <w:p>
            <w:pPr>
              <w:pStyle w:val="Compact"/>
              <w:jc w:val="left"/>
            </w:pPr>
            <w:r>
              <w:t xml:space="preserve">Storage</w:t>
            </w:r>
          </w:p>
        </w:tc>
        <w:tc>
          <w:tcPr/>
          <w:p>
            <w:pPr>
              <w:pStyle w:val="Compact"/>
              <w:jc w:val="left"/>
            </w:pPr>
            <w:r>
              <w:t xml:space="preserve">Non-Exportability</w:t>
            </w:r>
          </w:p>
        </w:tc>
        <w:tc>
          <w:tcPr/>
          <w:p>
            <w:pPr>
              <w:pStyle w:val="Compact"/>
              <w:jc w:val="left"/>
            </w:pPr>
            <w:r>
              <w:t xml:space="preserve">Applies To</w:t>
            </w:r>
          </w:p>
        </w:tc>
      </w:tr>
      <w:tr>
        <w:tc>
          <w:tcPr/>
          <w:p>
            <w:pPr>
              <w:pStyle w:val="Compact"/>
              <w:jc w:val="left"/>
            </w:pPr>
            <w:r>
              <w:t xml:space="preserve">Trust anchors, issuing CA keys, token-signing keys</w:t>
            </w:r>
          </w:p>
        </w:tc>
        <w:tc>
          <w:tcPr/>
          <w:p>
            <w:pPr>
              <w:pStyle w:val="Compact"/>
              <w:jc w:val="left"/>
            </w:pPr>
            <w:r>
              <w:t xml:space="preserve">HSM (FIPS 140-validated)</w:t>
            </w:r>
          </w:p>
        </w:tc>
        <w:tc>
          <w:tcPr/>
          <w:p>
            <w:pPr>
              <w:pStyle w:val="Compact"/>
              <w:jc w:val="left"/>
            </w:pPr>
            <w:r>
              <w:t xml:space="preserve">Hardware-enforced; keys are used, never read</w:t>
            </w:r>
          </w:p>
        </w:tc>
        <w:tc>
          <w:tcPr/>
          <w:p>
            <w:pPr>
              <w:pStyle w:val="Compact"/>
              <w:jc w:val="left"/>
            </w:pPr>
            <w:r>
              <w:t xml:space="preserve">The trust fabric itself</w:t>
            </w:r>
          </w:p>
        </w:tc>
      </w:tr>
      <w:tr>
        <w:tc>
          <w:tcPr/>
          <w:p>
            <w:pPr>
              <w:pStyle w:val="Compact"/>
              <w:jc w:val="left"/>
            </w:pPr>
            <w:r>
              <w:t xml:space="preserve">Device and user credentials</w:t>
            </w:r>
          </w:p>
        </w:tc>
        <w:tc>
          <w:tcPr/>
          <w:p>
            <w:pPr>
              <w:pStyle w:val="Compact"/>
              <w:jc w:val="left"/>
            </w:pPr>
            <w:r>
              <w:t xml:space="preserve">TPM / smart card / platform authenticator</w:t>
            </w:r>
          </w:p>
        </w:tc>
        <w:tc>
          <w:tcPr/>
          <w:p>
            <w:pPr>
              <w:pStyle w:val="Compact"/>
              <w:jc w:val="left"/>
            </w:pPr>
            <w:r>
              <w:t xml:space="preserve">Hardware-enforced; attestation available at enrollment</w:t>
            </w:r>
          </w:p>
        </w:tc>
        <w:tc>
          <w:tcPr/>
          <w:p>
            <w:pPr>
              <w:pStyle w:val="Compact"/>
              <w:jc w:val="left"/>
            </w:pPr>
            <w:r>
              <w:t xml:space="preserve">Book 02 machine certificates, PIV, FIDO2</w:t>
            </w:r>
          </w:p>
        </w:tc>
      </w:tr>
      <w:tr>
        <w:tc>
          <w:tcPr/>
          <w:p>
            <w:pPr>
              <w:pStyle w:val="Compact"/>
              <w:jc w:val="left"/>
            </w:pPr>
            <w:r>
              <w:t xml:space="preserve">Workload transport and application keys</w:t>
            </w:r>
          </w:p>
        </w:tc>
        <w:tc>
          <w:tcPr/>
          <w:p>
            <w:pPr>
              <w:pStyle w:val="Compact"/>
              <w:jc w:val="left"/>
            </w:pPr>
            <w:r>
              <w:t xml:space="preserve">Platform key service / managed key vault</w:t>
            </w:r>
          </w:p>
        </w:tc>
        <w:tc>
          <w:tcPr/>
          <w:p>
            <w:pPr>
              <w:pStyle w:val="Compact"/>
              <w:jc w:val="left"/>
            </w:pPr>
            <w:r>
              <w:t xml:space="preserve">Platform-enforced; access is an audited API call under its own policy</w:t>
            </w:r>
          </w:p>
        </w:tc>
        <w:tc>
          <w:tcPr/>
          <w:p>
            <w:pPr>
              <w:pStyle w:val="Compact"/>
              <w:jc w:val="left"/>
            </w:pPr>
            <w:r>
              <w:t xml:space="preserve">Service certificates, application secrets in transition</w:t>
            </w:r>
          </w:p>
        </w:tc>
      </w:tr>
      <w:tr>
        <w:tc>
          <w:tcPr/>
          <w:p>
            <w:pPr>
              <w:pStyle w:val="Compact"/>
              <w:jc w:val="left"/>
            </w:pPr>
            <w:r>
              <w:t xml:space="preserve">Ephemeral session and federation keys</w:t>
            </w:r>
          </w:p>
        </w:tc>
        <w:tc>
          <w:tcPr/>
          <w:p>
            <w:pPr>
              <w:pStyle w:val="Compact"/>
              <w:jc w:val="left"/>
            </w:pPr>
            <w:r>
              <w:t xml:space="preserve">Memory, minutes-scale lifetime</w:t>
            </w:r>
          </w:p>
        </w:tc>
        <w:tc>
          <w:tcPr/>
          <w:p>
            <w:pPr>
              <w:pStyle w:val="Compact"/>
              <w:jc w:val="left"/>
            </w:pPr>
            <w:r>
              <w:t xml:space="preserve">Lifetime is the control</w:t>
            </w:r>
          </w:p>
        </w:tc>
        <w:tc>
          <w:tcPr/>
          <w:p>
            <w:pPr>
              <w:pStyle w:val="Compact"/>
              <w:jc w:val="left"/>
            </w:pPr>
            <w:r>
              <w:t xml:space="preserve">Token exchange, TLS session keys</w:t>
            </w:r>
          </w:p>
        </w:tc>
      </w:tr>
    </w:tbl>
    <w:p>
      <w:pPr>
        <w:pStyle w:val="BodyText"/>
      </w:pPr>
      <w:r>
        <w:t xml:space="preserve">The pattern repeats the trust-hierarchy rule from the PKI section:</w:t>
      </w:r>
      <w:r>
        <w:t xml:space="preserve"> </w:t>
      </w:r>
      <w:r>
        <w:rPr>
          <w:bCs/>
          <w:b/>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w:t>
      </w:r>
      <w:r>
        <w:t xml:space="preserve">enforce authorized access to the corresponding private key</w:t>
      </w:r>
      <w:r>
        <w:t xml:space="preserve">”</w:t>
      </w:r>
      <w:r>
        <w:t xml:space="preserve"> </w:t>
      </w:r>
      <w:r>
        <w:t xml:space="preserve">implemented as protocol rather than as procedure.</w:t>
      </w:r>
    </w:p>
    <w:bookmarkEnd w:id="65"/>
    <w:bookmarkStart w:id="66" w:name="what-this-sets-up"/>
    <w:p>
      <w:pPr>
        <w:pStyle w:val="Heading2"/>
      </w:pPr>
      <w:r>
        <w:t xml:space="preserve">What This Sets Up</w:t>
      </w:r>
    </w:p>
    <w:p>
      <w:pPr>
        <w:pStyle w:val="FirstParagraph"/>
      </w:pPr>
      <w:r>
        <w:t xml:space="preserve">This is the hinge to the application books.</w:t>
      </w:r>
      <w:r>
        <w:t xml:space="preserve"> </w:t>
      </w:r>
      <w:hyperlink r:id="rId23">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24">
        <w:r>
          <w:rPr>
            <w:rStyle w:val="Hyperlink"/>
          </w:rPr>
          <w:t xml:space="preserve">Book 08</w:t>
        </w:r>
      </w:hyperlink>
      <w:r>
        <w:t xml:space="preserve"> </w:t>
      </w:r>
      <w:r>
        <w:t xml:space="preserve">is its implementation runbook. Read them as</w:t>
      </w:r>
      <w:r>
        <w:t xml:space="preserve"> </w:t>
      </w:r>
      <w:r>
        <w:rPr>
          <w:bCs/>
          <w:b/>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 {.striped .hover}</w:t>
      </w:r>
    </w:p>
    <w:tbl>
      <w:tblPr>
        <w:tblStyle w:val="Table"/>
        <w:tblW w:type="pct" w:w="5000"/>
        <w:tblLook w:firstRow="1" w:lastRow="0" w:firstColumn="0" w:lastColumn="0" w:noHBand="0" w:noVBand="0" w:val="0020"/>
        <w:jc w:val="start"/>
        <w:tblCaption w:val="Books 07–08 as applications of this book’s doctrine {.striped .hover}"/>
      </w:tblPr>
      <w:tblGrid>
        <w:gridCol w:w="3960"/>
        <w:gridCol w:w="3960"/>
      </w:tblGrid>
      <w:tr>
        <w:trPr>
          <w:tblHeader w:val="true"/>
        </w:trPr>
        <w:tc>
          <w:tcPr/>
          <w:p>
            <w:pPr>
              <w:pStyle w:val="Compact"/>
              <w:jc w:val="left"/>
            </w:pPr>
            <w:r>
              <w:t xml:space="preserve">Books 07–08 Mechanism</w:t>
            </w:r>
          </w:p>
        </w:tc>
        <w:tc>
          <w:tcPr/>
          <w:p>
            <w:pPr>
              <w:pStyle w:val="Compact"/>
              <w:jc w:val="left"/>
            </w:pPr>
            <w:r>
              <w:t xml:space="preserve">The Book 03 Doctrine It Applies</w:t>
            </w:r>
          </w:p>
        </w:tc>
      </w:tr>
      <w:tr>
        <w:tc>
          <w:tcPr/>
          <w:p>
            <w:pPr>
              <w:pStyle w:val="Compact"/>
              <w:jc w:val="left"/>
            </w:pPr>
            <w:r>
              <w:t xml:space="preserve">Domain credential replaced by a platform-attested identity on each database host</w:t>
            </w:r>
          </w:p>
        </w:tc>
        <w:tc>
          <w:tcPr/>
          <w:p>
            <w:pPr>
              <w:pStyle w:val="Compact"/>
              <w:jc w:val="left"/>
            </w:pPr>
            <w:r>
              <w:t xml:space="preserve">The workload identity progression, stage three: secret nowhere</w:t>
            </w:r>
          </w:p>
        </w:tc>
      </w:tr>
      <w:tr>
        <w:tc>
          <w:tcPr/>
          <w:p>
            <w:pPr>
              <w:pStyle w:val="Compact"/>
              <w:jc w:val="left"/>
            </w:pPr>
            <w:r>
              <w:t xml:space="preserve">Connection strings stripped of passwords; the application requests a token at connect time</w:t>
            </w:r>
          </w:p>
        </w:tc>
        <w:tc>
          <w:tcPr/>
          <w:p>
            <w:pPr>
              <w:pStyle w:val="Compact"/>
              <w:jc w:val="left"/>
            </w:pPr>
            <w:r>
              <w:t xml:space="preserve">Token-based identity: the proof travels in the credential, verified without a callback to a domain controller</w:t>
            </w:r>
          </w:p>
        </w:tc>
      </w:tr>
      <w:tr>
        <w:tc>
          <w:tcPr/>
          <w:p>
            <w:pPr>
              <w:pStyle w:val="Compact"/>
              <w:jc w:val="left"/>
            </w:pPr>
            <w:r>
              <w:t xml:space="preserve">NTLM eliminated by removing Kerberos’s reason to fall back, not by blocking a port</w:t>
            </w:r>
          </w:p>
        </w:tc>
        <w:tc>
          <w:tcPr/>
          <w:p>
            <w:pPr>
              <w:pStyle w:val="Compact"/>
              <w:jc w:val="left"/>
            </w:pPr>
            <w:r>
              <w:t xml:space="preserve">“</w:t>
            </w:r>
            <w:r>
              <w:t xml:space="preserve">The Fallback Nobody Chose</w:t>
            </w:r>
            <w:r>
              <w:t xml:space="preserve">”</w:t>
            </w:r>
            <w:r>
              <w:t xml:space="preserve">: fallback ends when the session-based protocol is no longer in the path at all</w:t>
            </w:r>
          </w:p>
        </w:tc>
      </w:tr>
      <w:tr>
        <w:tc>
          <w:tcPr/>
          <w:p>
            <w:pPr>
              <w:pStyle w:val="Compact"/>
              <w:jc w:val="left"/>
            </w:pPr>
            <w:r>
              <w:t xml:space="preserve">Every database authentication becomes a policy-gated, logged token issuance</w:t>
            </w:r>
          </w:p>
        </w:tc>
        <w:tc>
          <w:tcPr/>
          <w:p>
            <w:pPr>
              <w:pStyle w:val="Compact"/>
              <w:jc w:val="left"/>
            </w:pPr>
            <w:r>
              <w:t xml:space="preserve">Token issuance as the policy decision point; audit at the token level</w:t>
            </w:r>
          </w:p>
        </w:tc>
      </w:tr>
      <w:tr>
        <w:tc>
          <w:tcPr/>
          <w:p>
            <w:pPr>
              <w:pStyle w:val="Compact"/>
              <w:jc w:val="left"/>
            </w:pPr>
            <w:r>
              <w:t xml:space="preserve">Migration sequenced by estate inventory and dependency mapping before any login is disabled</w:t>
            </w:r>
          </w:p>
        </w:tc>
        <w:tc>
          <w:tcPr/>
          <w:p>
            <w:pPr>
              <w:pStyle w:val="Compact"/>
              <w:jc w:val="lef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66"/>
    <w:bookmarkEnd w:id="67"/>
    <w:bookmarkStart w:id="72" w:name="phased-implementation"/>
    <w:p>
      <w:pPr>
        <w:pStyle w:val="Heading1"/>
      </w:pPr>
      <w:r>
        <w:t xml:space="preserve">Phased Implementation</w:t>
      </w:r>
    </w:p>
    <w:p>
      <w:pPr>
        <w:pStyle w:val="FirstParagraph"/>
      </w:pPr>
      <w:r>
        <w:t xml:space="preserve">The sequencing principle:</w:t>
      </w:r>
      <w:r>
        <w:t xml:space="preserve"> </w:t>
      </w:r>
      <w:r>
        <w:rPr>
          <w:bCs/>
          <w:b/>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bookmarkStart w:id="68" w:name="X6a680b051ec28a9d607bf2f968af94dcddf0d42"/>
    <w:p>
      <w:pPr>
        <w:pStyle w:val="Heading2"/>
      </w:pPr>
      <w:r>
        <w:t xml:space="preserve">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23">
        <w:r>
          <w:rPr>
            <w:rStyle w:val="Hyperlink"/>
          </w:rPr>
          <w:t xml:space="preserve">Book 07</w:t>
        </w:r>
      </w:hyperlink>
      <w:r>
        <w:t xml:space="preserve"> </w:t>
      </w:r>
      <w:r>
        <w:t xml:space="preserve">requires begins here.</w:t>
      </w:r>
    </w:p>
    <w:p>
      <w:pPr>
        <w:pStyle w:val="BodyText"/>
      </w:pPr>
      <w:r>
        <w:rPr>
          <w:bCs/>
          <w:b/>
        </w:rPr>
        <w:t xml:space="preserve">Gate:</w:t>
      </w:r>
      <w:r>
        <w:t xml:space="preserve"> </w:t>
      </w:r>
      <w:r>
        <w:t xml:space="preserve">every production certificate has an owner, an issuer, and an IPAM binding — or an investigation ticket.</w:t>
      </w:r>
    </w:p>
    <w:bookmarkEnd w:id="68"/>
    <w:bookmarkStart w:id="69" w:name="phase-2-issuance-automation-weeks-512"/>
    <w:p>
      <w:pPr>
        <w:pStyle w:val="Heading2"/>
      </w:pPr>
      <w:r>
        <w:t xml:space="preserve">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Cs/>
          <w:b/>
        </w:rPr>
        <w:t xml:space="preserve">Gate:</w:t>
      </w:r>
      <w:r>
        <w:t xml:space="preserve"> </w:t>
      </w:r>
      <w:r>
        <w:t xml:space="preserve">zero manual issuance requests for covered certificate classes in a 30-day window; renewal automation demonstrated through at least one full cycle.</w:t>
      </w:r>
    </w:p>
    <w:bookmarkEnd w:id="69"/>
    <w:bookmarkStart w:id="70" w:name="Xee5d6c6398530dcb5ae5c2feae99ac6099a57a4"/>
    <w:p>
      <w:pPr>
        <w:pStyle w:val="Heading2"/>
      </w:pPr>
      <w:r>
        <w:t xml:space="preserve">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Cs/>
          <w:b/>
        </w:rPr>
        <w:t xml:space="preserve">Gate:</w:t>
      </w:r>
      <w:r>
        <w:t xml:space="preserve"> </w:t>
      </w:r>
      <w:r>
        <w:t xml:space="preserve">legacy authentication blocked with a measured zero business impact; privileged access impossible without a phishing-resistant assertion.</w:t>
      </w:r>
    </w:p>
    <w:bookmarkEnd w:id="70"/>
    <w:bookmarkStart w:id="71" w:name="X91d22899771017288efd1634ec3ba0ac5177ad3"/>
    <w:p>
      <w:pPr>
        <w:pStyle w:val="Heading2"/>
      </w:pPr>
      <w:r>
        <w:t xml:space="preserve">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24">
        <w:r>
          <w:rPr>
            <w:rStyle w:val="Hyperlink"/>
          </w:rPr>
          <w:t xml:space="preserve">Book 08</w:t>
        </w:r>
      </w:hyperlink>
      <w:r>
        <w:t xml:space="preserve"> </w:t>
      </w:r>
      <w:r>
        <w:t xml:space="preserve">is the worked example of this phase for the database estate; its runbook structure generalizes.</w:t>
      </w:r>
    </w:p>
    <w:p>
      <w:pPr>
        <w:pStyle w:val="BodyText"/>
      </w:pPr>
      <w:r>
        <w:rPr>
          <w:bCs/>
          <w:b/>
        </w:rPr>
        <w:t xml:space="preserve">Gate:</w:t>
      </w:r>
      <w:r>
        <w:t xml:space="preserve"> </w:t>
      </w:r>
      <w:r>
        <w:t xml:space="preserve">the secret inventory trends monotonically to zero for covered workload classes, and every remaining entry has a named exception with an expiry date.</w:t>
      </w:r>
    </w:p>
    <w:bookmarkEnd w:id="71"/>
    <w:bookmarkEnd w:id="72"/>
    <w:bookmarkStart w:id="75" w:name="nist-sp-800-53-rev-5-control-closure"/>
    <w:p>
      <w:pPr>
        <w:pStyle w:val="Heading1"/>
      </w:pPr>
      <w:r>
        <w:t xml:space="preserve">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 {.striped .hover}</w:t>
      </w:r>
    </w:p>
    <w:tbl>
      <w:tblPr>
        <w:tblStyle w:val="Table"/>
        <w:tblW w:type="pct" w:w="5000"/>
        <w:tblLook w:firstRow="1" w:lastRow="0" w:firstColumn="0" w:lastColumn="0" w:noHBand="0" w:noVBand="0" w:val="0020"/>
        <w:jc w:val="start"/>
        <w:tblCaption w:val="NIST SP 800-53 Rev 5 control closure for Part 3 — Certificates &amp; Tokens {.striped .hover}"/>
      </w:tblPr>
      <w:tblGrid>
        <w:gridCol w:w="734"/>
        <w:gridCol w:w="571"/>
        <w:gridCol w:w="2204"/>
        <w:gridCol w:w="1959"/>
        <w:gridCol w:w="2449"/>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Without This Architecture</w:t>
            </w:r>
          </w:p>
        </w:tc>
        <w:tc>
          <w:tcPr/>
          <w:p>
            <w:pPr>
              <w:pStyle w:val="Compact"/>
              <w:jc w:val="left"/>
            </w:pPr>
            <w:r>
              <w:t xml:space="preserve">With This Architecture</w:t>
            </w:r>
          </w:p>
        </w:tc>
        <w:tc>
          <w:tcPr/>
          <w:p>
            <w:pPr>
              <w:pStyle w:val="Compact"/>
              <w:jc w:val="left"/>
            </w:pPr>
            <w:r>
              <w:t xml:space="preserve">Why No Alternative Closes It</w:t>
            </w:r>
          </w:p>
        </w:tc>
      </w:tr>
      <w:tr>
        <w:tc>
          <w:tcPr/>
          <w:p>
            <w:pPr>
              <w:pStyle w:val="Compact"/>
              <w:jc w:val="left"/>
            </w:pPr>
            <w:r>
              <w:rPr>
                <w:bCs/>
                <w:b/>
              </w:rPr>
              <w:t xml:space="preserve">IA-5(2)</w:t>
            </w:r>
          </w:p>
        </w:tc>
        <w:tc>
          <w:tcPr/>
          <w:p>
            <w:pPr>
              <w:pStyle w:val="Compact"/>
              <w:jc w:val="left"/>
            </w:pPr>
            <w:r>
              <w:t xml:space="preserve">Authenticator Management — Public Key-Based Authentication</w:t>
            </w:r>
          </w:p>
        </w:tc>
        <w:tc>
          <w:tcPr/>
          <w:p>
            <w:pPr>
              <w:pStyle w:val="Compact"/>
              <w:jc w:val="lef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jc w:val="lef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jc w:val="left"/>
            </w:pPr>
            <w:r>
              <w:t xml:space="preserve">Rev 5 IA-5(2) requires constructing and verifying a certification path</w:t>
            </w:r>
            <w:r>
              <w:t xml:space="preserve"> </w:t>
            </w:r>
            <w:r>
              <w:rPr>
                <w:iCs/>
                <w:i/>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jc w:val="left"/>
            </w:pPr>
            <w:r>
              <w:rPr>
                <w:bCs/>
                <w:b/>
              </w:rPr>
              <w:t xml:space="preserve">SC-12</w:t>
            </w:r>
          </w:p>
        </w:tc>
        <w:tc>
          <w:tcPr/>
          <w:p>
            <w:pPr>
              <w:pStyle w:val="Compact"/>
              <w:jc w:val="left"/>
            </w:pPr>
            <w:r>
              <w:t xml:space="preserve">Cryptographic Key Establishment and Management</w:t>
            </w:r>
          </w:p>
        </w:tc>
        <w:tc>
          <w:tcPr/>
          <w:p>
            <w:pPr>
              <w:pStyle w:val="Compact"/>
              <w:jc w:val="left"/>
            </w:pPr>
            <w:r>
              <w:t xml:space="preserve">Keys are generated ad hoc by whoever needs them, distributed by file copy, stored in configuration, never destroyed; key custody is undocumentable because it was never a system property</w:t>
            </w:r>
          </w:p>
        </w:tc>
        <w:tc>
          <w:tcPr/>
          <w:p>
            <w:pPr>
              <w:pStyle w:val="Compact"/>
              <w:jc w:val="lef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jc w:val="lef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jc w:val="left"/>
            </w:pPr>
            <w:r>
              <w:rPr>
                <w:bCs/>
                <w:b/>
              </w:rPr>
              <w:t xml:space="preserve">SC-17</w:t>
            </w:r>
          </w:p>
        </w:tc>
        <w:tc>
          <w:tcPr/>
          <w:p>
            <w:pPr>
              <w:pStyle w:val="Compact"/>
              <w:jc w:val="left"/>
            </w:pPr>
            <w:r>
              <w:t xml:space="preserve">Public Key Infrastructure Certificates</w:t>
            </w:r>
          </w:p>
        </w:tc>
        <w:tc>
          <w:tcPr/>
          <w:p>
            <w:pPr>
              <w:pStyle w:val="Compact"/>
              <w:jc w:val="left"/>
            </w:pPr>
            <w:r>
              <w:t xml:space="preserve">Certificates issued by any CA a project happens to use, under no enforced policy; trust stores accumulate unapproved anchors that no process reviews</w:t>
            </w:r>
          </w:p>
        </w:tc>
        <w:tc>
          <w:tcPr/>
          <w:p>
            <w:pPr>
              <w:pStyle w:val="Compact"/>
              <w:jc w:val="lef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jc w:val="left"/>
            </w:pPr>
            <w:r>
              <w:t xml:space="preserve">SC-17 requires issuance</w:t>
            </w:r>
            <w:r>
              <w:t xml:space="preserve"> </w:t>
            </w:r>
            <w:r>
              <w:rPr>
                <w:iCs/>
                <w:i/>
              </w:rPr>
              <w:t xml:space="preserve">under a certificate policy</w:t>
            </w:r>
            <w:r>
              <w:t xml:space="preserve"> </w:t>
            </w:r>
            <w:r>
              <w:t xml:space="preserve">and trust stores containing</w:t>
            </w:r>
            <w:r>
              <w:t xml:space="preserve"> </w:t>
            </w:r>
            <w:r>
              <w:rPr>
                <w:iCs/>
                <w:i/>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jc w:val="left"/>
            </w:pPr>
            <w:r>
              <w:rPr>
                <w:bCs/>
                <w:b/>
              </w:rPr>
              <w:t xml:space="preserve">IA-2(1)</w:t>
            </w:r>
          </w:p>
        </w:tc>
        <w:tc>
          <w:tcPr/>
          <w:p>
            <w:pPr>
              <w:pStyle w:val="Compact"/>
              <w:jc w:val="left"/>
            </w:pPr>
            <w:r>
              <w:t xml:space="preserve">Identification and Authentication — Multi-Factor Authentication to Privileged Accounts</w:t>
            </w:r>
          </w:p>
        </w:tc>
        <w:tc>
          <w:tcPr/>
          <w:p>
            <w:pPr>
              <w:pStyle w:val="Compact"/>
              <w:jc w:val="left"/>
            </w:pPr>
            <w:r>
              <w:t xml:space="preserve">Privileged access gated by passwords or phishable MFA (OTP, push); a relayed credential yields the estate’s highest privileges</w:t>
            </w:r>
          </w:p>
        </w:tc>
        <w:tc>
          <w:tcPr/>
          <w:p>
            <w:pPr>
              <w:pStyle w:val="Compact"/>
              <w:jc w:val="left"/>
            </w:pPr>
            <w:r>
              <w:t xml:space="preserve">Privileged accounts require phishing-resistant, verifier-impersonation-resistant authenticators (PIV/CBA or FIDO2), enforced at token issuance; no phishing-resistant assertion, no privileged token</w:t>
            </w:r>
          </w:p>
        </w:tc>
        <w:tc>
          <w:tcPr/>
          <w:p>
            <w:pPr>
              <w:pStyle w:val="Compact"/>
              <w:jc w:val="lef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jc w:val="left"/>
            </w:pPr>
            <w:r>
              <w:rPr>
                <w:bCs/>
                <w:b/>
              </w:rPr>
              <w:t xml:space="preserve">IA-2(2)</w:t>
            </w:r>
          </w:p>
        </w:tc>
        <w:tc>
          <w:tcPr/>
          <w:p>
            <w:pPr>
              <w:pStyle w:val="Compact"/>
              <w:jc w:val="left"/>
            </w:pPr>
            <w:r>
              <w:t xml:space="preserve">Identification and Authentication — Multi-Factor Authentication to Non-Privileged Accounts</w:t>
            </w:r>
          </w:p>
        </w:tc>
        <w:tc>
          <w:tcPr/>
          <w:p>
            <w:pPr>
              <w:pStyle w:val="Compact"/>
              <w:jc w:val="left"/>
            </w:pPr>
            <w:r>
              <w:t xml:space="preserve">Standard users authenticate with passwords plus phishable second factors; phishing any user yields a foothold that lateral movement converts into privilege</w:t>
            </w:r>
          </w:p>
        </w:tc>
        <w:tc>
          <w:tcPr/>
          <w:p>
            <w:pPr>
              <w:pStyle w:val="Compact"/>
              <w:jc w:val="left"/>
            </w:pPr>
            <w:r>
              <w:t xml:space="preserve">All user access requires MFA with phishing-resistant authenticators as the enforced default; legacy authentication protocols that bypass MFA are disabled per the BOD 25-01 baseline posture</w:t>
            </w:r>
          </w:p>
        </w:tc>
        <w:tc>
          <w:tcPr/>
          <w:p>
            <w:pPr>
              <w:pStyle w:val="Compact"/>
              <w:jc w:val="lef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Cs/>
          <w:b/>
        </w:rPr>
        <w:t xml:space="preserve">Closure Necessity — IA-5(2) revocation checking.</w:t>
      </w:r>
      <w:r>
        <w:t xml:space="preserve"> </w:t>
      </w:r>
      <w:r>
        <w:t xml:space="preserve">Rev 5 IA-5(2)(b)(1) requires validating certificates</w:t>
      </w:r>
      <w:r>
        <w:t xml:space="preserve"> </w:t>
      </w:r>
      <w:r>
        <w:t xml:space="preserve">“</w:t>
      </w:r>
      <w:r>
        <w:t xml:space="preserve">by constructing and verifying a certification path to an accepted trust anchor, including checking certificate status information.</w:t>
      </w:r>
      <w:r>
        <w:t xml:space="preserve">”</w:t>
      </w:r>
      <w:r>
        <w:t xml:space="preserve"> </w:t>
      </w:r>
      <w:r>
        <w:t xml:space="preserve">Status checking is a network act against CRL/OCSP endpoints whose addresses resolve through DNS — which makes authoritative, DNSSEC-protected resolution a</w:t>
      </w:r>
      <w:r>
        <w:t xml:space="preserve"> </w:t>
      </w:r>
      <w:r>
        <w:rPr>
          <w:iCs/>
          <w:i/>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Cs/>
          <w:b/>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Cs/>
          <w:b/>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p>
      <w:pPr>
        <w:pStyle w:val="FirstParagraph"/>
      </w:pPr>
      <w:r>
        <w:rPr>
          <w:bCs/>
          <w:b/>
        </w:rPr>
        <w:t xml:space="preserve">FedRAMP 20x KSI Alignment — slot-01 identity</w:t>
      </w:r>
    </w:p>
    <w:p>
      <w:pPr>
        <w:pStyle w:val="BodyText"/>
      </w:pPr>
      <w:r>
        <w:t xml:space="preserve">In the series’ continuous-monitoring architecture, this book’s evidence binds to the</w:t>
      </w:r>
      <w:r>
        <w:t xml:space="preserve"> </w:t>
      </w:r>
      <w:r>
        <w:rPr>
          <w:bCs/>
          <w:b/>
        </w:rPr>
        <w:t xml:space="preserve">slot-01 identity</w:t>
      </w:r>
      <w:r>
        <w:t xml:space="preserve"> </w:t>
      </w:r>
      <w:r>
        <w:t xml:space="preserve">evidence slot, which carries the</w:t>
      </w:r>
      <w:r>
        <w:t xml:space="preserve"> </w:t>
      </w:r>
      <w:r>
        <w:rPr>
          <w:bCs/>
          <w:b/>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r>
        <w:t xml:space="preserve">Per the series’ conformance-tooling doctrine (Theme E): the ScuBA-based configuration rules attest that identity</w:t>
      </w:r>
      <w:r>
        <w:t xml:space="preserve"> </w:t>
      </w:r>
      <w:r>
        <w:rPr>
          <w:iCs/>
          <w:i/>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73">
        <w:r>
          <w:rPr>
            <w:rStyle w:val="Hyperlink"/>
          </w:rPr>
          <w:t xml:space="preserve">Book 00</w:t>
        </w:r>
      </w:hyperlink>
      <w:r>
        <w:t xml:space="preserve">;</w:t>
      </w:r>
      <w:r>
        <w:t xml:space="preserve"> </w:t>
      </w:r>
      <w:hyperlink r:id="rId74">
        <w:r>
          <w:rPr>
            <w:rStyle w:val="Hyperlink"/>
          </w:rPr>
          <w:t xml:space="preserve">Book 19</w:t>
        </w:r>
      </w:hyperlink>
      <w:r>
        <w:t xml:space="preserve"> </w:t>
      </w:r>
      <w:r>
        <w:t xml:space="preserve">carries the evidence procedures behind it.</w:t>
      </w:r>
    </w:p>
    <w:bookmarkEnd w:id="75"/>
    <w:bookmarkStart w:id="78" w:name="series-context-part-3-of-19"/>
    <w:p>
      <w:pPr>
        <w:pStyle w:val="Heading1"/>
      </w:pPr>
      <w:r>
        <w:t xml:space="preserve">Series Context — Part 3 of 19</w:t>
      </w:r>
    </w:p>
    <w:p>
      <w:pPr>
        <w:pStyle w:val="FirstParagraph"/>
      </w:pPr>
      <w:r>
        <w:t xml:space="preserve">This part completes the foundation trilogy:</w:t>
      </w:r>
    </w:p>
    <w:p>
      <w:pPr>
        <w:numPr>
          <w:ilvl w:val="0"/>
          <w:numId w:val="1014"/>
        </w:numPr>
        <w:pStyle w:val="Compact"/>
      </w:pPr>
      <w:hyperlink r:id="rId21">
        <w:r>
          <w:rPr>
            <w:rStyle w:val="Hyperlink"/>
            <w:bCs/>
            <w:b/>
          </w:rPr>
          <w:t xml:space="preserve">Book 01</w:t>
        </w:r>
      </w:hyperlink>
      <w:r>
        <w:t xml:space="preserve"> </w:t>
      </w:r>
      <w:r>
        <w:t xml:space="preserve">— the naming and addressing plane: authoritative DNS, DHCP, IPAM, and the landing zone that makes every workload enumerable.</w:t>
      </w:r>
    </w:p>
    <w:p>
      <w:pPr>
        <w:numPr>
          <w:ilvl w:val="0"/>
          <w:numId w:val="1014"/>
        </w:numPr>
        <w:pStyle w:val="Compact"/>
      </w:pPr>
      <w:hyperlink r:id="rId22">
        <w:r>
          <w:rPr>
            <w:rStyle w:val="Hyperlink"/>
            <w:bCs/>
            <w:b/>
          </w:rPr>
          <w:t xml:space="preserve">Book 02</w:t>
        </w:r>
      </w:hyperlink>
      <w:r>
        <w:t xml:space="preserve"> </w:t>
      </w:r>
      <w:r>
        <w:t xml:space="preserve">— device identity at the port: the machine certificate as the admission credential, quarantine as the default.</w:t>
      </w:r>
    </w:p>
    <w:p>
      <w:pPr>
        <w:numPr>
          <w:ilvl w:val="0"/>
          <w:numId w:val="1014"/>
        </w:numPr>
        <w:pStyle w:val="Compact"/>
      </w:pPr>
      <w:r>
        <w:rPr>
          <w:bCs/>
          <w:b/>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6">
        <w:r>
          <w:rPr>
            <w:rStyle w:val="Hyperlink"/>
          </w:rPr>
          <w:t xml:space="preserve">Book 05</w:t>
        </w:r>
      </w:hyperlink>
      <w:r>
        <w:t xml:space="preserve"> </w:t>
      </w:r>
      <w:r>
        <w:t xml:space="preserve">and</w:t>
      </w:r>
      <w:r>
        <w:t xml:space="preserve"> </w:t>
      </w:r>
      <w:hyperlink r:id="rId76">
        <w:r>
          <w:rPr>
            <w:rStyle w:val="Hyperlink"/>
          </w:rPr>
          <w:t xml:space="preserve">Book 06</w:t>
        </w:r>
      </w:hyperlink>
      <w:r>
        <w:t xml:space="preserve"> </w:t>
      </w:r>
      <w:r>
        <w:t xml:space="preserve">modernize the transport that made this identity model mandatory.</w:t>
      </w:r>
      <w:r>
        <w:t xml:space="preserve"> </w:t>
      </w:r>
      <w:hyperlink r:id="rId23">
        <w:r>
          <w:rPr>
            <w:rStyle w:val="Hyperlink"/>
          </w:rPr>
          <w:t xml:space="preserve">Books 07</w:t>
        </w:r>
      </w:hyperlink>
      <w:r>
        <w:t xml:space="preserve">–</w:t>
      </w:r>
      <w:hyperlink r:id="rId24">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Cs/>
          <w:i/>
        </w:rPr>
        <w:t xml:space="preserve">removed</w:t>
      </w:r>
      <w:r>
        <w:t xml:space="preserve">, not merely deprecated. The privileged access, detection, and continuity parts consume the token-level telemetry this architecture emits, and</w:t>
      </w:r>
      <w:r>
        <w:t xml:space="preserve"> </w:t>
      </w:r>
      <w:hyperlink r:id="rId74">
        <w:r>
          <w:rPr>
            <w:rStyle w:val="Hyperlink"/>
          </w:rPr>
          <w:t xml:space="preserve">Book 19</w:t>
        </w:r>
      </w:hyperlink>
      <w:r>
        <w:t xml:space="preserve"> </w:t>
      </w:r>
      <w:r>
        <w:t xml:space="preserve">assembles it into the authorization package.</w:t>
      </w:r>
    </w:p>
    <w:bookmarkStart w:id="77" w:name="Xad7833ad9d3f8a98c7b789d14bc1caec63be7d1"/>
    <w:p>
      <w:pPr>
        <w:pStyle w:val="Heading2"/>
      </w:pPr>
      <w:r>
        <w:t xml:space="preserve">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 {.striped .hover}</w:t>
      </w:r>
    </w:p>
    <w:tbl>
      <w:tblPr>
        <w:tblStyle w:val="Table"/>
        <w:tblW w:type="pct" w:w="5000"/>
        <w:tblLook w:firstRow="1" w:lastRow="0" w:firstColumn="0" w:lastColumn="0" w:noHBand="0" w:noVBand="0" w:val="0020"/>
        <w:jc w:val="start"/>
        <w:tblCaption w:val="The five doctrine themes as they appear in Part 3 {.striped .hover}"/>
      </w:tblPr>
      <w:tblGrid>
        <w:gridCol w:w="3960"/>
        <w:gridCol w:w="3960"/>
      </w:tblGrid>
      <w:tr>
        <w:trPr>
          <w:tblHeader w:val="true"/>
        </w:trPr>
        <w:tc>
          <w:tcPr/>
          <w:p>
            <w:pPr>
              <w:pStyle w:val="Compact"/>
              <w:jc w:val="left"/>
            </w:pPr>
            <w:r>
              <w:t xml:space="preserve">Theme</w:t>
            </w:r>
          </w:p>
        </w:tc>
        <w:tc>
          <w:tcPr/>
          <w:p>
            <w:pPr>
              <w:pStyle w:val="Compact"/>
              <w:jc w:val="left"/>
            </w:pPr>
            <w:r>
              <w:t xml:space="preserve">Its Expression in This Book</w:t>
            </w:r>
          </w:p>
        </w:tc>
      </w:tr>
      <w:tr>
        <w:tc>
          <w:tcPr/>
          <w:p>
            <w:pPr>
              <w:pStyle w:val="Compact"/>
              <w:jc w:val="left"/>
            </w:pPr>
            <w:r>
              <w:rPr>
                <w:bCs/>
                <w:b/>
              </w:rPr>
              <w:t xml:space="preserve">A — Closure Necessity</w:t>
            </w:r>
          </w:p>
        </w:tc>
        <w:tc>
          <w:tcPr/>
          <w:p>
            <w:pPr>
              <w:pStyle w:val="Compact"/>
              <w:jc w:val="lef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jc w:val="left"/>
            </w:pPr>
            <w:r>
              <w:rPr>
                <w:bCs/>
                <w:b/>
              </w:rPr>
              <w:t xml:space="preserve">B — DIA Fixes Nothing</w:t>
            </w:r>
          </w:p>
        </w:tc>
        <w:tc>
          <w:tcPr/>
          <w:p>
            <w:pPr>
              <w:pStyle w:val="Compact"/>
              <w:jc w:val="left"/>
            </w:pPr>
            <w:r>
              <w:t xml:space="preserve">The transport half of this book’s premise: the modern path is faster</w:t>
            </w:r>
            <w:r>
              <w:t xml:space="preserve"> </w:t>
            </w:r>
            <w:r>
              <w:rPr>
                <w:iCs/>
                <w:i/>
              </w:rPr>
              <w:t xml:space="preserve">and</w:t>
            </w:r>
            <w:r>
              <w:t xml:space="preserve"> </w:t>
            </w:r>
            <w:r>
              <w:t xml:space="preserve">carries no identity; the pipe cannot vouch for anyone. Identity had to move into the credential because the network stopped carrying it</w:t>
            </w:r>
          </w:p>
        </w:tc>
      </w:tr>
      <w:tr>
        <w:tc>
          <w:tcPr/>
          <w:p>
            <w:pPr>
              <w:pStyle w:val="Compact"/>
              <w:jc w:val="left"/>
            </w:pPr>
            <w:r>
              <w:rPr>
                <w:bCs/>
                <w:b/>
              </w:rPr>
              <w:t xml:space="preserve">C — The ADC/Proxy Dissolution</w:t>
            </w:r>
          </w:p>
        </w:tc>
        <w:tc>
          <w:tcPr/>
          <w:p>
            <w:pPr>
              <w:pStyle w:val="Compact"/>
              <w:jc w:val="lef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jc w:val="left"/>
            </w:pPr>
            <w:r>
              <w:rPr>
                <w:bCs/>
                <w:b/>
              </w:rPr>
              <w:t xml:space="preserve">D — Functional Planes, Not Divisions</w:t>
            </w:r>
          </w:p>
        </w:tc>
        <w:tc>
          <w:tcPr/>
          <w:p>
            <w:pPr>
              <w:pStyle w:val="Compact"/>
              <w:jc w:val="left"/>
            </w:pPr>
            <w:r>
              <w:t xml:space="preserve">Certificates and tokens are identity-plane</w:t>
            </w:r>
            <w:r>
              <w:t xml:space="preserve"> </w:t>
            </w:r>
            <w:r>
              <w:rPr>
                <w:iCs/>
                <w:i/>
              </w:rPr>
              <w:t xml:space="preserve">truth</w:t>
            </w:r>
            <w:r>
              <w:t xml:space="preserve">; conditional access and ZTNA are enforcement-plane</w:t>
            </w:r>
            <w:r>
              <w:t xml:space="preserve"> </w:t>
            </w:r>
            <w:r>
              <w:rPr>
                <w:iCs/>
                <w:i/>
              </w:rPr>
              <w:t xml:space="preserve">consumers</w:t>
            </w:r>
            <w:r>
              <w:t xml:space="preserve">. Issuance authority lives in the naming plane. No owner is named anywhere in this book, because none needs to be</w:t>
            </w:r>
          </w:p>
        </w:tc>
      </w:tr>
      <w:tr>
        <w:tc>
          <w:tcPr/>
          <w:p>
            <w:pPr>
              <w:pStyle w:val="Compact"/>
              <w:jc w:val="left"/>
            </w:pPr>
            <w:r>
              <w:rPr>
                <w:bCs/>
                <w:b/>
              </w:rPr>
              <w:t xml:space="preserve">E — Conformance Tooling Coverage Gap</w:t>
            </w:r>
          </w:p>
        </w:tc>
        <w:tc>
          <w:tcPr/>
          <w:p>
            <w:pPr>
              <w:pStyle w:val="Compact"/>
              <w:jc w:val="lef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Cs/>
          <w:b/>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Cs/>
          <w:i/>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hyperlink" Id="rId73" Target="Book_00_FedAAN_Executive_Summary.qmd" TargetMode="External" /><Relationship Type="http://schemas.openxmlformats.org/officeDocument/2006/relationships/hyperlink" Id="rId21" Target="Book_01_FedAAN_SSA_Landing_Zone_IPAM_FedRAMP.qmd" TargetMode="External" /><Relationship Type="http://schemas.openxmlformats.org/officeDocument/2006/relationships/hyperlink" Id="rId22" Target="Book_02_FedAAN_Network_Access_Control_802_1X.qmd" TargetMode="External" /><Relationship Type="http://schemas.openxmlformats.org/officeDocument/2006/relationships/hyperlink" Id="rId26" Target="Book_05_FedAAN_Network_Modernization.qmd" TargetMode="External" /><Relationship Type="http://schemas.openxmlformats.org/officeDocument/2006/relationships/hyperlink" Id="rId76" Target="Book_06_FedAAN_Federal_Telecommunications_Modernization.qmd" TargetMode="External" /><Relationship Type="http://schemas.openxmlformats.org/officeDocument/2006/relationships/hyperlink" Id="rId23" Target="Book_07_FedAAN_SQL_Server_Authentication_Modernization.qmd" TargetMode="External" /><Relationship Type="http://schemas.openxmlformats.org/officeDocument/2006/relationships/hyperlink" Id="rId24" Target="Book_08_FedAAN_SQL_Server_Implementation_Guide.qmd" TargetMode="External" /><Relationship Type="http://schemas.openxmlformats.org/officeDocument/2006/relationships/hyperlink" Id="rId74"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73" Target="Book_00_FedAAN_Executive_Summary.qmd" TargetMode="External" /><Relationship Type="http://schemas.openxmlformats.org/officeDocument/2006/relationships/hyperlink" Id="rId21" Target="Book_01_FedAAN_SSA_Landing_Zone_IPAM_FedRAMP.qmd" TargetMode="External" /><Relationship Type="http://schemas.openxmlformats.org/officeDocument/2006/relationships/hyperlink" Id="rId22" Target="Book_02_FedAAN_Network_Access_Control_802_1X.qmd" TargetMode="External" /><Relationship Type="http://schemas.openxmlformats.org/officeDocument/2006/relationships/hyperlink" Id="rId26" Target="Book_05_FedAAN_Network_Modernization.qmd" TargetMode="External" /><Relationship Type="http://schemas.openxmlformats.org/officeDocument/2006/relationships/hyperlink" Id="rId76" Target="Book_06_FedAAN_Federal_Telecommunications_Modernization.qmd" TargetMode="External" /><Relationship Type="http://schemas.openxmlformats.org/officeDocument/2006/relationships/hyperlink" Id="rId23" Target="Book_07_FedAAN_SQL_Server_Authentication_Modernization.qmd" TargetMode="External" /><Relationship Type="http://schemas.openxmlformats.org/officeDocument/2006/relationships/hyperlink" Id="rId24" Target="Book_08_FedAAN_SQL_Server_Implementation_Guide.qmd" TargetMode="External" /><Relationship Type="http://schemas.openxmlformats.org/officeDocument/2006/relationships/hyperlink" Id="rId74"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2026-07-06T13:13:10Z</dcterms:created>
  <dcterms:modified xsi:type="dcterms:W3CDTF">2026-07-06T13:13:10Z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PKI as a Naming-Plane Function · ACME Lifecycle Automation · OAuth 2.0/OIDC · Phishing-Resistant MFA · Workload Identity</vt:lpwstr>
  </property>
</Properties>
</file>