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FedRAMP 20x Compliance Crosswalk: UIAO Architecture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2026-03 </w:t>
      </w: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sz w:val="22"/>
        </w:rPr>
        <w:t xml:space="preserve">  Readiness </w:t>
      </w:r>
      <w:r>
        <w:rPr>
          <w:rFonts w:ascii="Calibri" w:hAnsi="Calibri"/>
          <w:b/>
          <w:i w:val="0"/>
          <w:sz w:val="22"/>
        </w:rPr>
        <w:t>Framework Version: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Authorization Level:</w:t>
      </w:r>
    </w:p>
    <w:p>
      <w:pPr>
        <w:pStyle w:val="Heading2"/>
      </w:pPr>
      <w:r>
        <w:rPr>
          <w:color w:val="1B3A5C"/>
        </w:rPr>
        <w:t>2. Architecture-to-Compliance Mapping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following diagram illustrates how the UIAO unified architecture maps to the compliance framework. Each control plane provides evidence for specific NIST control families.</w:t>
      </w:r>
    </w:p>
    <w:p>
      <w:pPr>
        <w:pStyle w:val="Heading2"/>
      </w:pPr>
      <w:r>
        <w:rPr>
          <w:color w:val="1B3A5C"/>
        </w:rPr>
        <w:t>4. Mandatory 2026 Infrastructure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To satisfy the </w:t>
      </w:r>
      <w:r>
        <w:rPr>
          <w:rFonts w:ascii="Calibri" w:hAnsi="Calibri"/>
          <w:b/>
          <w:i w:val="0"/>
          <w:sz w:val="22"/>
        </w:rPr>
        <w:t>FedRAMP Consolidated Rules (CR26)</w:t>
      </w:r>
      <w:r>
        <w:rPr>
          <w:rFonts w:ascii="Calibri" w:hAnsi="Calibri"/>
          <w:sz w:val="22"/>
        </w:rPr>
        <w:t>, the following infrastructure components are active and validated: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i w:val="0"/>
          <w:sz w:val="22"/>
        </w:rPr>
        <w:t>Automated Security Inbox:</w:t>
      </w:r>
      <w:r>
        <w:rPr>
          <w:rFonts w:ascii="Calibri" w:hAnsi="Calibri"/>
          <w:sz w:val="22"/>
        </w:rPr>
        <w:t xml:space="preserve"> `` - </w:t>
      </w:r>
      <w:r>
        <w:rPr>
          <w:rFonts w:ascii="Calibri" w:hAnsi="Calibri"/>
          <w:b/>
          <w:i w:val="0"/>
          <w:sz w:val="22"/>
        </w:rPr>
        <w:t>OSCAL Machine-Readability: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i w:val="0"/>
          <w:sz w:val="22"/>
        </w:rPr>
        <w:t>mTLS Enforcement: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i w:val="0"/>
          <w:sz w:val="22"/>
        </w:rPr>
        <w:t>KSI Dashboard Status: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i w:val="0"/>
          <w:sz w:val="22"/>
        </w:rPr>
        <w:t>Submission Format:</w:t>
      </w:r>
    </w:p>
    <w:p>
      <w:pPr>
        <w:pStyle w:val="Heading3"/>
      </w:pPr>
      <w:r>
        <w:rPr>
          <w:color w:val="1B3A5C"/>
        </w:rPr>
        <w:t>4.1. Mandatory Requirements Tracker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Deadline</w:t>
            </w:r>
          </w:p>
        </w:tc>
      </w:tr>
    </w:tbl>
    <w:p>
      <w:pPr>
        <w:pStyle w:val="Heading2"/>
      </w:pPr>
      <w:r>
        <w:rPr>
          <w:color w:val="1B3A5C"/>
        </w:rPr>
        <w:t>6. Telemetry-Based Compliance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following diagram shows how the multi-plane integration enables continuous compliance monitoring. The telemetry control plane collects evidence from all other planes and feeds it to the KSI dashboard.</w:t>
      </w: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Generated from UIAO data layer — FedRAMP 20x Crosswalk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