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20x</w:t>
      </w:r>
      <w:r>
        <w:t xml:space="preserve"> </w:t>
      </w:r>
      <w:r>
        <w:t xml:space="preserve">Compliance</w:t>
      </w:r>
      <w:r>
        <w:t xml:space="preserve"> </w:t>
      </w:r>
      <w:r>
        <w:t xml:space="preserve">Crosswalk:</w:t>
      </w:r>
      <w:r>
        <w:t xml:space="preserve"> </w:t>
      </w:r>
      <w:r>
        <w:t xml:space="preserve">UIAO</w:t>
      </w:r>
      <w:r>
        <w:t xml:space="preserve"> </w:t>
      </w:r>
      <w:r>
        <w:t xml:space="preserve">Architecture</w:t>
      </w:r>
    </w:p>
    <w:bookmarkStart w:id="28" w:name="X59a62c83a3b179d7292576e9c1edb111be39f86"/>
    <w:p>
      <w:pPr>
        <w:pStyle w:val="Heading1"/>
      </w:pPr>
      <w:r>
        <w:t xml:space="preserve">FedRAMP 20x Compliance Crosswalk: UIAO Architecture</w:t>
      </w:r>
    </w:p>
    <w:p>
      <w:pPr>
        <w:pStyle w:val="FirstParagraph"/>
      </w:pPr>
      <w:r>
        <w:rPr>
          <w:bCs/>
          <w:b/>
        </w:rPr>
        <w:t xml:space="preserve">Date:</w:t>
      </w:r>
      <w:r>
        <w:t xml:space="preserve"> </w:t>
      </w:r>
      <w:r>
        <w:t xml:space="preserve">2026-03</w:t>
      </w:r>
      <w:r>
        <w:br/>
      </w:r>
      <w:r>
        <w:rPr>
          <w:bCs/>
          <w:b/>
        </w:rPr>
        <w:t xml:space="preserve">Status:</w:t>
      </w:r>
      <w:r>
        <w:t xml:space="preserve"> </w:t>
      </w:r>
      <w:r>
        <w:t xml:space="preserve">Readiness</w:t>
      </w:r>
      <w:r>
        <w:br/>
      </w:r>
      <w:r>
        <w:rPr>
          <w:bCs/>
          <w:b/>
        </w:rPr>
        <w:t xml:space="preserve">Framework Version:</w:t>
      </w:r>
      <w:r>
        <w:br/>
      </w:r>
      <w:r>
        <w:rPr>
          <w:bCs/>
          <w:b/>
        </w:rPr>
        <w:t xml:space="preserve">Authorization Level:</w:t>
      </w:r>
    </w:p>
    <w:p>
      <w:r>
        <w:pict>
          <v:rect style="width:0;height:1.5pt" o:hralign="center" o:hrstd="t" o:hr="t"/>
        </w:pict>
      </w:r>
    </w:p>
    <w:bookmarkStart w:id="20" w:name="executive-summary"/>
    <w:p>
      <w:pPr>
        <w:pStyle w:val="Heading2"/>
      </w:pPr>
      <w:r>
        <w:t xml:space="preserve">1. Executive Summary</w:t>
      </w:r>
    </w:p>
    <w:p>
      <w:pPr>
        <w:pStyle w:val="FirstParagraph"/>
      </w:pPr>
      <w:r>
        <w:t xml:space="preserve">This document provides the machine-generated crosswalk between the</w:t>
      </w:r>
      <w:r>
        <w:t xml:space="preserve"> </w:t>
      </w:r>
      <w:r>
        <w:rPr>
          <w:bCs/>
          <w:b/>
        </w:rPr>
        <w:t xml:space="preserve">Unified Identity-Addressing-Overlay (UIAO)</w:t>
      </w:r>
      <w:r>
        <w:t xml:space="preserve"> </w:t>
      </w:r>
      <w:r>
        <w:t xml:space="preserve">architectural concepts and the</w:t>
      </w:r>
      <w:r>
        <w:t xml:space="preserve"> </w:t>
      </w:r>
      <w:r>
        <w:rPr>
          <w:bCs/>
          <w:b/>
        </w:rPr>
        <w:t xml:space="preserve">NIST 800-53 Rev 5</w:t>
      </w:r>
      <w:r>
        <w:t xml:space="preserve"> </w:t>
      </w:r>
      <w:r>
        <w:t xml:space="preserve">controls required for a FedRAMP Moderate Authorization. Following the</w:t>
      </w:r>
      <w:r>
        <w:t xml:space="preserve"> </w:t>
      </w:r>
      <w:r>
        <w:rPr>
          <w:bCs/>
          <w:b/>
        </w:rPr>
        <w:t xml:space="preserve">FedRAMP 20x</w:t>
      </w:r>
      <w:r>
        <w:t xml:space="preserve"> </w:t>
      </w:r>
      <w:r>
        <w:t xml:space="preserve">mandate, this report transitions from narrative-based compliance to</w:t>
      </w:r>
      <w:r>
        <w:t xml:space="preserve"> </w:t>
      </w:r>
      <w:r>
        <w:rPr>
          <w:bCs/>
          <w:b/>
        </w:rPr>
        <w:t xml:space="preserve">Telemetry-Based Validation</w:t>
      </w:r>
      <w:r>
        <w:t xml:space="preserve"> </w:t>
      </w:r>
      <w:r>
        <w:t xml:space="preserve">using Key Security Indicators (KSIs).</w:t>
      </w:r>
    </w:p>
    <w:p>
      <w:pPr>
        <w:pStyle w:val="BodyText"/>
      </w:pPr>
      <w:r>
        <w:rPr>
          <w:bCs/>
          <w:b/>
        </w:rPr>
        <w:t xml:space="preserve">Compliance Strategy:</w:t>
      </w:r>
    </w:p>
    <w:p>
      <w:pPr>
        <w:pStyle w:val="BodyText"/>
      </w:pPr>
      <w:r>
        <w:t xml:space="preserve">The UIAO architecture is uniquely positioned for FedRAMP 20x because its four control planes map directly to NIST control families, and its telemetry plane provides the continuous monitoring evidence that KSI dashboards require.</w:t>
      </w:r>
    </w:p>
    <w:p>
      <w:r>
        <w:pict>
          <v:rect style="width:0;height:1.5pt" o:hralign="center" o:hrstd="t" o:hr="t"/>
        </w:pict>
      </w:r>
    </w:p>
    <w:bookmarkEnd w:id="20"/>
    <w:bookmarkStart w:id="21" w:name="architecture-to-compliance-mapping"/>
    <w:p>
      <w:pPr>
        <w:pStyle w:val="Heading2"/>
      </w:pPr>
      <w:r>
        <w:t xml:space="preserve">2. Architecture-to-Compliance Mapping</w:t>
      </w:r>
    </w:p>
    <w:p>
      <w:pPr>
        <w:pStyle w:val="FirstParagraph"/>
      </w:pPr>
      <w:r>
        <w:t xml:space="preserve">The following diagram illustrates how the UIAO unified architecture maps to the compliance framework. Each control plane provides evidence for specific NIST control families.</w:t>
      </w:r>
    </w:p>
    <w:p>
      <w:pPr>
        <w:pStyle w:val="BodyText"/>
      </w:pPr>
    </w:p>
    <w:p>
      <w:r>
        <w:pict>
          <v:rect style="width:0;height:1.5pt" o:hralign="center" o:hrstd="t" o:hr="t"/>
        </w:pict>
      </w:r>
    </w:p>
    <w:bookmarkEnd w:id="21"/>
    <w:bookmarkStart w:id="22" w:name="fundamental-concept-mapping"/>
    <w:p>
      <w:pPr>
        <w:pStyle w:val="Heading2"/>
      </w:pPr>
      <w:r>
        <w:t xml:space="preserve">3. Fundamental Concept Mapping</w:t>
      </w:r>
    </w:p>
    <w:p>
      <w:pPr>
        <w:pStyle w:val="FirstParagraph"/>
      </w:pPr>
      <w:r>
        <w:t xml:space="preserve">The following table maps UIAO architectural principles to required FedRAMP 20x KSI categories. Each concept represents a core architectural decision that satisfies one or more NIST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UIAO Concept</w:t>
            </w:r>
          </w:p>
        </w:tc>
        <w:tc>
          <w:tcPr/>
          <w:p>
            <w:pPr>
              <w:pStyle w:val="Compact"/>
              <w:jc w:val="left"/>
            </w:pPr>
            <w:r>
              <w:t xml:space="preserve">NIST Control</w:t>
            </w:r>
          </w:p>
        </w:tc>
        <w:tc>
          <w:tcPr/>
          <w:p>
            <w:pPr>
              <w:pStyle w:val="Compact"/>
              <w:jc w:val="left"/>
            </w:pPr>
            <w:r>
              <w:t xml:space="preserve">KSI Category</w:t>
            </w:r>
          </w:p>
        </w:tc>
        <w:tc>
          <w:tcPr/>
          <w:p>
            <w:pPr>
              <w:pStyle w:val="Compact"/>
              <w:jc w:val="left"/>
            </w:pPr>
            <w:r>
              <w:t xml:space="preserve">Evidence Source</w:t>
            </w:r>
          </w:p>
        </w:tc>
      </w:tr>
    </w:tbl>
    <w:p>
      <w:r>
        <w:pict>
          <v:rect style="width:0;height:1.5pt" o:hralign="center" o:hrstd="t" o:hr="t"/>
        </w:pict>
      </w:r>
    </w:p>
    <w:bookmarkEnd w:id="22"/>
    <w:bookmarkStart w:id="24" w:name="mandatory-2026-infrastructure-status"/>
    <w:p>
      <w:pPr>
        <w:pStyle w:val="Heading2"/>
      </w:pPr>
      <w:r>
        <w:t xml:space="preserve">4. Mandatory 2026 Infrastructure Status</w:t>
      </w:r>
    </w:p>
    <w:p>
      <w:pPr>
        <w:pStyle w:val="FirstParagraph"/>
      </w:pPr>
      <w:r>
        <w:t xml:space="preserve">To satisfy the</w:t>
      </w:r>
      <w:r>
        <w:t xml:space="preserve"> </w:t>
      </w:r>
      <w:r>
        <w:rPr>
          <w:bCs/>
          <w:b/>
        </w:rPr>
        <w:t xml:space="preserve">FedRAMP Consolidated Rules (CR26)</w:t>
      </w:r>
      <w:r>
        <w:t xml:space="preserve">, the following infrastructure components are active and validated:</w:t>
      </w:r>
    </w:p>
    <w:p>
      <w:pPr>
        <w:numPr>
          <w:ilvl w:val="0"/>
          <w:numId w:val="1001"/>
        </w:numPr>
        <w:pStyle w:val="Compact"/>
      </w:pPr>
      <w:r>
        <w:rPr>
          <w:bCs/>
          <w:b/>
        </w:rPr>
        <w:t xml:space="preserve">Automated Security Inbox:</w:t>
      </w:r>
      <w:r>
        <w:t xml:space="preserve"> </w:t>
      </w:r>
      <w:r>
        <w:t xml:space="preserve">``</w:t>
      </w:r>
    </w:p>
    <w:p>
      <w:pPr>
        <w:numPr>
          <w:ilvl w:val="0"/>
          <w:numId w:val="1001"/>
        </w:numPr>
        <w:pStyle w:val="Compact"/>
      </w:pPr>
      <w:r>
        <w:rPr>
          <w:bCs/>
          <w:b/>
        </w:rPr>
        <w:t xml:space="preserve">OSCAL Machine-Readability:</w:t>
      </w:r>
    </w:p>
    <w:p>
      <w:pPr>
        <w:numPr>
          <w:ilvl w:val="0"/>
          <w:numId w:val="1001"/>
        </w:numPr>
        <w:pStyle w:val="Compact"/>
      </w:pPr>
      <w:r>
        <w:rPr>
          <w:bCs/>
          <w:b/>
        </w:rPr>
        <w:t xml:space="preserve">mTLS Enforcement:</w:t>
      </w:r>
    </w:p>
    <w:p>
      <w:pPr>
        <w:numPr>
          <w:ilvl w:val="0"/>
          <w:numId w:val="1001"/>
        </w:numPr>
        <w:pStyle w:val="Compact"/>
      </w:pPr>
      <w:r>
        <w:rPr>
          <w:bCs/>
          <w:b/>
        </w:rPr>
        <w:t xml:space="preserve">KSI Dashboard Status:</w:t>
      </w:r>
    </w:p>
    <w:p>
      <w:pPr>
        <w:numPr>
          <w:ilvl w:val="0"/>
          <w:numId w:val="1001"/>
        </w:numPr>
        <w:pStyle w:val="Compact"/>
      </w:pPr>
      <w:r>
        <w:rPr>
          <w:bCs/>
          <w:b/>
        </w:rPr>
        <w:t xml:space="preserve">Submission Format:</w:t>
      </w:r>
    </w:p>
    <w:bookmarkStart w:id="23" w:name="mandatory-requirements-tracker"/>
    <w:p>
      <w:pPr>
        <w:pStyle w:val="Heading3"/>
      </w:pPr>
      <w:r>
        <w:t xml:space="preserve">4.1. Mandatory Requirements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Deadline</w:t>
            </w:r>
          </w:p>
        </w:tc>
      </w:tr>
    </w:tbl>
    <w:p>
      <w:r>
        <w:pict>
          <v:rect style="width:0;height:1.5pt" o:hralign="center" o:hrstd="t" o:hr="t"/>
        </w:pict>
      </w:r>
    </w:p>
    <w:bookmarkEnd w:id="23"/>
    <w:bookmarkEnd w:id="24"/>
    <w:bookmarkStart w:id="25" w:name="audit-anchor-summary"/>
    <w:p>
      <w:pPr>
        <w:pStyle w:val="Heading2"/>
      </w:pPr>
      <w:r>
        <w:t xml:space="preserve">5. Audit Anchor Summary</w:t>
      </w:r>
    </w:p>
    <w:p>
      <w:pPr>
        <w:pStyle w:val="FirstParagraph"/>
      </w:pPr>
      <w:r>
        <w:t xml:space="preserve">The UIAO architecture provides continuous telemetry via these validated components. Each audit anchor represents a pillar of the architecture that is independently verifiable through automated evidence collection.</w:t>
      </w:r>
    </w:p>
    <w:p>
      <w:r>
        <w:pict>
          <v:rect style="width:0;height:1.5pt" o:hralign="center" o:hrstd="t" o:hr="t"/>
        </w:pict>
      </w:r>
    </w:p>
    <w:bookmarkEnd w:id="25"/>
    <w:bookmarkStart w:id="26" w:name="telemetry-based-compliance-architecture"/>
    <w:p>
      <w:pPr>
        <w:pStyle w:val="Heading2"/>
      </w:pPr>
      <w:r>
        <w:t xml:space="preserve">6. Telemetry-Based Compliance Architecture</w:t>
      </w:r>
    </w:p>
    <w:p>
      <w:pPr>
        <w:pStyle w:val="FirstParagraph"/>
      </w:pPr>
      <w:r>
        <w:t xml:space="preserve">The following diagram shows how the multi-plane integration enables continuous compliance monitoring. The telemetry control plane collects evidence from all other planes and feeds it to the KSI dashboard.</w:t>
      </w:r>
    </w:p>
    <w:p>
      <w:pPr>
        <w:pStyle w:val="BodyText"/>
      </w:pPr>
    </w:p>
    <w:p>
      <w:r>
        <w:pict>
          <v:rect style="width:0;height:1.5pt" o:hralign="center" o:hrstd="t" o:hr="t"/>
        </w:pict>
      </w:r>
    </w:p>
    <w:bookmarkEnd w:id="26"/>
    <w:bookmarkStart w:id="27" w:name="schema-validation-pipeline"/>
    <w:p>
      <w:pPr>
        <w:pStyle w:val="Heading2"/>
      </w:pPr>
      <w:r>
        <w:t xml:space="preserve">7. Schema Validation Pipeline</w:t>
      </w:r>
    </w:p>
    <w:p>
      <w:pPr>
        <w:pStyle w:val="FirstParagraph"/>
      </w:pPr>
      <w:r>
        <w:t xml:space="preserve">All compliance data flows through an automated validation pipeline before publication. This ensures that every artifact submitted to FedRAMP is machine-readable and schema-compliant.</w:t>
      </w:r>
    </w:p>
    <w:p>
      <w:pPr>
        <w:pStyle w:val="BodyText"/>
      </w:pPr>
    </w:p>
    <w:p>
      <w:r>
        <w:pict>
          <v:rect style="width:0;height:1.5pt" o:hralign="center" o:hrstd="t" o:hr="t"/>
        </w:pict>
      </w:r>
    </w:p>
    <w:p>
      <w:pPr>
        <w:pStyle w:val="FirstParagraph"/>
      </w:pPr>
      <w:r>
        <w:rPr>
          <w:iCs/>
          <w:i/>
        </w:rPr>
        <w:t xml:space="preserve">Generated from UIAO data layer — FedRAMP 20x Crosswalk v1.0</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20x Compliance Crosswalk: UIAO Architecture</dc:title>
  <dc:creator/>
  <cp:keywords/>
  <dcterms:created xsi:type="dcterms:W3CDTF">2026-04-06T11:25:47Z</dcterms:created>
  <dcterms:modified xsi:type="dcterms:W3CDTF">2026-04-06T11:25:47Z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zation_level">
    <vt:lpwstr/>
  </property>
  <property fmtid="{D5CDD505-2E9C-101B-9397-08002B2CF9AE}" pid="3" name="classification">
    <vt:lpwstr>CUI/FOUO</vt:lpwstr>
  </property>
  <property fmtid="{D5CDD505-2E9C-101B-9397-08002B2CF9AE}" pid="4" name="version">
    <vt:lpwstr>1.0</vt:lpwstr>
  </property>
</Properties>
</file>