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TIC</w:t>
      </w:r>
      <w:r>
        <w:t xml:space="preserve"> </w:t>
      </w:r>
      <w:r>
        <w:t xml:space="preserve">3.0</w:t>
      </w:r>
      <w:r>
        <w:t xml:space="preserve"> </w:t>
      </w:r>
      <w:r>
        <w:t xml:space="preserve">Roadmap</w:t>
      </w:r>
    </w:p>
    <w:bookmarkStart w:id="20" w:name="uiao-tic-3.0-roadmap"/>
    <w:p>
      <w:pPr>
        <w:pStyle w:val="Heading1"/>
      </w:pPr>
      <w:r>
        <w:t xml:space="preserve">UIAO TIC 3.0 Roadmap</w:t>
      </w:r>
    </w:p>
    <w:p>
      <w:pPr>
        <w:pStyle w:val="FirstParagraph"/>
      </w:pPr>
      <w:r>
        <w:rPr>
          <w:bCs/>
          <w:b/>
        </w:rPr>
        <w:t xml:space="preserve">Version 1.0</w:t>
      </w:r>
    </w:p>
    <w:p>
      <w:r>
        <w:pict>
          <v:rect style="width:0;height:1.5pt" o:hralign="center" o:hrstd="t" o:hr="t"/>
        </w:pict>
      </w:r>
    </w:p>
    <w:bookmarkEnd w:id="20"/>
    <w:bookmarkStart w:id="21" w:name="why-tic-3.0-modernization-is-required"/>
    <w:p>
      <w:pPr>
        <w:pStyle w:val="Heading1"/>
      </w:pPr>
      <w:r>
        <w:t xml:space="preserve">Why TIC 3.0 Modernization Is Required</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7" w:name="control-planes-supporting-tic-3.0"/>
    <w:p>
      <w:pPr>
        <w:pStyle w:val="Heading1"/>
      </w:pPr>
      <w:r>
        <w:t xml:space="preserve">Control Planes Supporting TIC 3.0</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20x Phase 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6" w:name="core-concepts-supporting-tic-3.0"/>
    <w:p>
      <w:pPr>
        <w:pStyle w:val="Heading1"/>
      </w:pPr>
      <w:r>
        <w:t xml:space="preserve">Core Concepts Supporting TIC 3.0</w:t>
      </w:r>
    </w:p>
    <w:bookmarkStart w:id="28" w:name="single-source-of-truth-ssot"/>
    <w:p>
      <w:pPr>
        <w:pStyle w:val="Heading3"/>
      </w:pPr>
      <w:r>
        <w:t xml:space="preserve">1. Single Source of Truth (SSOT)</w:t>
      </w:r>
    </w:p>
    <w:p>
      <w:pPr>
        <w:pStyle w:val="FirstParagraph"/>
      </w:pPr>
      <w:r>
        <w:t xml:space="preserve">The canonical data repository is the authoritative origin for all architectural definitions. Every document, template, and generated artifact derives its definitions from this single source of truth, ensuring consistency and preventing drift across the architecture.</w:t>
      </w:r>
    </w:p>
    <w:bookmarkEnd w:id="28"/>
    <w:bookmarkStart w:id="29" w:name="conversation-as-the-atomic-unit"/>
    <w:p>
      <w:pPr>
        <w:pStyle w:val="Heading3"/>
      </w:pPr>
      <w:r>
        <w:t xml:space="preserve">2. Conversation as the Atomic Unit</w:t>
      </w:r>
    </w:p>
    <w:p>
      <w:pPr>
        <w:pStyle w:val="FirstParagraph"/>
      </w:pPr>
      <w:r>
        <w:t xml:space="preserve">Every interaction—identity, certificate, addressing, path, QoS, and telemetry—is treated as a single, correlated conversation rather than isolated events.</w:t>
      </w:r>
    </w:p>
    <w:bookmarkEnd w:id="29"/>
    <w:bookmarkStart w:id="30" w:name="identity-as-the-root-namespace"/>
    <w:p>
      <w:pPr>
        <w:pStyle w:val="Heading3"/>
      </w:pPr>
      <w:r>
        <w:t xml:space="preserve">3.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30"/>
    <w:bookmarkStart w:id="31" w:name="deterministic-addressing"/>
    <w:p>
      <w:pPr>
        <w:pStyle w:val="Heading3"/>
      </w:pPr>
      <w:r>
        <w:t xml:space="preserve">4.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1"/>
    <w:bookmarkStart w:id="32" w:name="certificate-anchored-overlay"/>
    <w:p>
      <w:pPr>
        <w:pStyle w:val="Heading3"/>
      </w:pPr>
      <w:r>
        <w:t xml:space="preserve">5. Certificate-Anchored Overlay</w:t>
      </w:r>
    </w:p>
    <w:p>
      <w:pPr>
        <w:pStyle w:val="FirstParagraph"/>
      </w:pPr>
      <w:r>
        <w:t xml:space="preserve">Certificates and mutual TLS anchor tunnels, services, and trust relationships across the enterprise.</w:t>
      </w:r>
    </w:p>
    <w:bookmarkEnd w:id="32"/>
    <w:bookmarkStart w:id="33" w:name="telemetry-as-control"/>
    <w:p>
      <w:pPr>
        <w:pStyle w:val="Heading3"/>
      </w:pPr>
      <w:r>
        <w:t xml:space="preserve">6. Telemetry as Control</w:t>
      </w:r>
    </w:p>
    <w:p>
      <w:pPr>
        <w:pStyle w:val="FirstParagraph"/>
      </w:pPr>
      <w:r>
        <w:t xml:space="preserve">Telemetry becomes an active control input for routing, security, and compliance decisions rather than a passive reporting mechanism.</w:t>
      </w:r>
    </w:p>
    <w:bookmarkEnd w:id="33"/>
    <w:bookmarkStart w:id="34" w:name="embedded-governance-automation"/>
    <w:p>
      <w:pPr>
        <w:pStyle w:val="Heading3"/>
      </w:pPr>
      <w:r>
        <w:t xml:space="preserve">7. Embedded Governance &amp; Automation</w:t>
      </w:r>
    </w:p>
    <w:p>
      <w:pPr>
        <w:pStyle w:val="FirstParagraph"/>
      </w:pPr>
      <w:r>
        <w:t xml:space="preserve">Governance is executed through orchestrated workflows that enforce policy consistently and reduce operational burden.</w:t>
      </w:r>
    </w:p>
    <w:bookmarkEnd w:id="34"/>
    <w:bookmarkStart w:id="35" w:name="public-service-first"/>
    <w:p>
      <w:pPr>
        <w:pStyle w:val="Heading3"/>
      </w:pPr>
      <w:r>
        <w:t xml:space="preserve">8. Public Service First</w:t>
      </w:r>
    </w:p>
    <w:p>
      <w:pPr>
        <w:pStyle w:val="FirstParagraph"/>
      </w:pPr>
      <w:r>
        <w:t xml:space="preserve">Citizen experience, accessibility, and privacy remain top-level design constraints.</w:t>
      </w:r>
    </w:p>
    <w:p>
      <w:r>
        <w:pict>
          <v:rect style="width:0;height:1.5pt" o:hralign="center" o:hrstd="t" o:hr="t"/>
        </w:pict>
      </w:r>
    </w:p>
    <w:bookmarkEnd w:id="35"/>
    <w:bookmarkEnd w:id="36"/>
    <w:bookmarkStart w:id="37" w:name="frozen-state-risks-tic-3.0-impact"/>
    <w:p>
      <w:pPr>
        <w:pStyle w:val="Heading1"/>
      </w:pPr>
      <w:r>
        <w:t xml:space="preserve">Frozen State Risks (TIC 3.0 Impact)</w:t>
      </w:r>
    </w:p>
    <w:p>
      <w:pPr>
        <w:pStyle w:val="FirstParagraph"/>
      </w:pPr>
      <w:r>
        <w:t xml:space="preserve">The agency’s current environment reflects a series of disconnected legacy systems that cannot support modern requirements. Identity is siloed across divisions, preventing a unified identity graph. Addressing is static and manually managed, creating operational risk and preventing accurate correlation. Network security relies on perimeter firewalls that cannot enforce identity-aware segmentation. Endpoint posture is inconsistent due to mixed tooling. Applications rely on monolithic architectures and local authentication, limiting scalability and modernization. Telemetry is collected but not correlated, preventing conversation-level visibility. Governance depends on email and manual change management, slowing operations and increasing error rates. Data protection relies on manual classification and noisy DLP, limiting effectiveness.</w:t>
      </w:r>
    </w:p>
    <w:p>
      <w:r>
        <w:pict>
          <v:rect style="width:0;height:1.5pt" o:hralign="center" o:hrstd="t" o:hr="t"/>
        </w:pict>
      </w:r>
    </w:p>
    <w:bookmarkEnd w:id="37"/>
    <w:bookmarkStart w:id="39" w:name="expected-tic-3.0-outcomes"/>
    <w:p>
      <w:pPr>
        <w:pStyle w:val="Heading1"/>
      </w:pPr>
      <w:r>
        <w:t xml:space="preserve">Expected TIC 3.0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bookmarkStart w:id="38" w:name="Xa469865eab054ea7ec42cc3b4c138d1c8e491b9"/>
    <w:p>
      <w:pPr>
        <w:pStyle w:val="Heading2"/>
      </w:pPr>
      <w:r>
        <w:t xml:space="preserve">The Perimeter Collapse: TIC 2.2 to UIAO (Visual V4)</w:t>
      </w:r>
    </w:p>
    <w:p>
      <w:pPr>
        <w:pStyle w:val="FirstParagraph"/>
      </w:pPr>
      <w:r>
        <w:t xml:space="preserve">The</w:t>
      </w:r>
      <w:r>
        <w:t xml:space="preserve"> </w:t>
      </w:r>
      <w:r>
        <w:t xml:space="preserve">“</w:t>
      </w:r>
      <w:r>
        <w:t xml:space="preserve">Modernization Atlas</w:t>
      </w:r>
      <w:r>
        <w:t xml:space="preserve">”</w:t>
      </w:r>
      <w:r>
        <w:t xml:space="preserve"> </w:t>
      </w:r>
      <w:r>
        <w:t xml:space="preserve">visualizes the fundamental shift from rigid, hardware-bound perimeters to a flexible, software-defined trust fabric. The following table details the</w:t>
      </w:r>
      <w:r>
        <w:t xml:space="preserve"> </w:t>
      </w:r>
      <w:r>
        <w:rPr>
          <w:bCs/>
          <w:b/>
        </w:rPr>
        <w:t xml:space="preserve">Perimeter Collapse</w:t>
      </w:r>
      <w:r>
        <w:t xml:space="preserve">—the decommissioning of legacy silos in favor of the UIAO model.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Modernization Pillar</w:t>
            </w:r>
          </w:p>
        </w:tc>
        <w:tc>
          <w:tcPr/>
          <w:p>
            <w:pPr>
              <w:pStyle w:val="Compact"/>
              <w:jc w:val="left"/>
            </w:pPr>
            <w:r>
              <w:t xml:space="preserve">Legacy State (TIC 2.2)</w:t>
            </w:r>
          </w:p>
        </w:tc>
        <w:tc>
          <w:tcPr/>
          <w:p>
            <w:pPr>
              <w:pStyle w:val="Compact"/>
              <w:jc w:val="left"/>
            </w:pPr>
            <w:r>
              <w:t xml:space="preserve">UIAO Future State (TIC 3.0)</w:t>
            </w:r>
          </w:p>
        </w:tc>
        <w:tc>
          <w:tcPr/>
          <w:p>
            <w:pPr>
              <w:pStyle w:val="Compact"/>
              <w:jc w:val="left"/>
            </w:pPr>
            <w:r>
              <w:t xml:space="preserve">Strategic Mission Impact</w:t>
            </w:r>
          </w:p>
        </w:tc>
      </w:tr>
    </w:tbl>
    <w:p>
      <w:pPr>
        <w:pStyle w:val="BlockText"/>
      </w:pPr>
      <w:r>
        <w:rPr>
          <w:bCs/>
          <w:b/>
        </w:rPr>
        <w:t xml:space="preserve">Foreman’s Directive:</w:t>
      </w:r>
      <w:r>
        <w:t xml:space="preserve"> </w:t>
      </w:r>
      <w:r>
        <w:t xml:space="preserve">This transition is verified by the</w:t>
      </w:r>
      <w:r>
        <w:t xml:space="preserve"> </w:t>
      </w:r>
      <w:r>
        <w:rPr>
          <w:bCs/>
          <w:b/>
        </w:rPr>
        <w:t xml:space="preserve">V4 Modernization Atlas</w:t>
      </w:r>
      <w:r>
        <w:t xml:space="preserve"> </w:t>
      </w:r>
      <w:r>
        <w:t xml:space="preserve">graphic. By collapsing these silos,</w:t>
      </w:r>
      <w:r>
        <w:t xml:space="preserve"> </w:t>
      </w:r>
      <w:r>
        <w:rPr>
          <w:bCs/>
          <w:b/>
        </w:rPr>
        <w:t xml:space="preserve">the agency</w:t>
      </w:r>
      <w:r>
        <w:t xml:space="preserve"> </w:t>
      </w:r>
      <w:r>
        <w:t xml:space="preserve">achieves the</w:t>
      </w:r>
      <w:r>
        <w:t xml:space="preserve"> </w:t>
      </w:r>
      <w:r>
        <w:t xml:space="preserve">‘</w:t>
      </w:r>
      <w:r>
        <w:t xml:space="preserve">Advanced</w:t>
      </w:r>
      <w:r>
        <w:t xml:space="preserve">’</w:t>
      </w:r>
      <w:r>
        <w:t xml:space="preserve"> </w:t>
      </w:r>
      <w:r>
        <w:t xml:space="preserve">level in the Network/Environment pillar of the CISA Zero Trust Maturity Model.</w:t>
      </w:r>
    </w:p>
    <w:p>
      <w:r>
        <w:pict>
          <v:rect style="width:0;height:1.5pt" o:hralign="center" o:hrstd="t" o:hr="t"/>
        </w:pict>
      </w:r>
    </w:p>
    <w:p>
      <w:pPr>
        <w:pStyle w:val="FirstParagraph"/>
      </w:pPr>
      <w:r>
        <w:rPr>
          <w:iCs/>
          <w:i/>
        </w:rPr>
        <w:t xml:space="preserve">End of TIC 3.0 Roadmap v1.0</w:t>
      </w:r>
    </w:p>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TIC 3.0 Roadmap</dc:title>
  <dc:creator/>
  <cp:keywords/>
  <dcterms:created xsi:type="dcterms:W3CDTF">2026-04-06T11:25:48Z</dcterms:created>
  <dcterms:modified xsi:type="dcterms:W3CDTF">2026-04-06T11:25:48Z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