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Six</w:t>
      </w:r>
      <w:r>
        <w:t xml:space="preserve"> </w:t>
      </w:r>
      <w:r>
        <w:t xml:space="preserve">Implementation</w:t>
      </w:r>
      <w:r>
        <w:t xml:space="preserve"> </w:t>
      </w:r>
      <w:r>
        <w:t xml:space="preserve">Tracks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Cs/>
          <w:b/>
        </w:rPr>
        <w:t xml:space="preserve">For authorizing officials, program executives, and budget decision makers.</w:t>
      </w:r>
    </w:p>
    <w:p>
      <w:pPr>
        <w:pStyle w:val="BodyText"/>
      </w:pPr>
      <w:r>
        <w:t xml:space="preserve">This document summarizes fifteen companion implementation guides that together constitute the Federal Application-Aware Networking program. Books 01–06 address DDI/DNS infrastructure, telecommunications modernization, network and identity architecture, SQL Server authentication, database implementation, and database architecture and network physics — closing</w:t>
      </w:r>
      <w:r>
        <w:t xml:space="preserve"> </w:t>
      </w:r>
      <w:r>
        <w:rPr>
          <w:bCs/>
          <w:b/>
        </w:rPr>
        <w:t xml:space="preserve">34 distinct NIST SP 800-53 Rev 5 controls</w:t>
      </w:r>
      <w:r>
        <w:t xml:space="preserve">. Books 07–11 extend coverage to privileged access management, vulnerability management, data protection, SIEM/XDR detection engineering, and business continuity — adding approximately</w:t>
      </w:r>
      <w:r>
        <w:t xml:space="preserve"> </w:t>
      </w:r>
      <w:r>
        <w:rPr>
          <w:bCs/>
          <w:b/>
        </w:rPr>
        <w:t xml:space="preserve">55 additional controls</w:t>
      </w:r>
      <w:r>
        <w:t xml:space="preserve"> </w:t>
      </w:r>
      <w:r>
        <w:t xml:space="preserve">across the AC, RA, MP, SC, AU, SI, IR, and CP families. Books 12–14 close the remaining SR, PM, and PT control families — supply chain risk management (SBOM/VDR/VEX pipeline), program management governance (POA&amp;M/SCRM/ISPP), and PII processing transparency (PT family templates and Purview enforcement). Book 15 completes the series by delivering the AT family cybersecurity training program — general awareness, role-based training for six high-risk tiers, secure-delivery training, and IR/DR readiness — activating KSI-022 (KSI-CED-RAT) and making all 29 FedRAMP 20x CR26 KSIs evaluable. Together the series constitutes the complete evidence generation layer required for FedRAMP 20x continuous monitoring authorization.</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fifteen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23" w:name="series-overview"/>
    <w:p>
      <w:pPr>
        <w:pStyle w:val="Heading2"/>
      </w:pPr>
      <w:r>
        <w:t xml:space="preserve">Series Overview</w:t>
      </w:r>
    </w:p>
    <w:p>
      <w:pPr>
        <w:pStyle w:val="CaptionedFigure"/>
      </w:pPr>
      <w:r>
        <w:drawing>
          <wp:inline>
            <wp:extent cx="7772400" cy="2878666"/>
            <wp:effectExtent b="0" l="0" r="0" t="0"/>
            <wp:docPr descr="Federal Application-Aware Networking Series — Six Implementation Tracks, One Compliance Architecture" title="" id="21" name="Picture"/>
            <a:graphic>
              <a:graphicData uri="http://schemas.openxmlformats.org/drawingml/2006/picture">
                <pic:pic>
                  <pic:nvPicPr>
                    <pic:cNvPr descr="figs/es-fig-01-series-overview.png" id="22" name="Picture"/>
                    <pic:cNvPicPr>
                      <a:picLocks noChangeArrowheads="1" noChangeAspect="1"/>
                    </pic:cNvPicPr>
                  </pic:nvPicPr>
                  <pic:blipFill>
                    <a:blip r:embed="rId20"/>
                    <a:stretch>
                      <a:fillRect/>
                    </a:stretch>
                  </pic:blipFill>
                  <pic:spPr bwMode="auto">
                    <a:xfrm>
                      <a:off x="0" y="0"/>
                      <a:ext cx="7772400" cy="2878666"/>
                    </a:xfrm>
                    <a:prstGeom prst="rect">
                      <a:avLst/>
                    </a:prstGeom>
                    <a:noFill/>
                    <a:ln w="9525">
                      <a:noFill/>
                      <a:headEnd/>
                      <a:tailEnd/>
                    </a:ln>
                  </pic:spPr>
                </pic:pic>
              </a:graphicData>
            </a:graphic>
          </wp:inline>
        </w:drawing>
      </w:r>
    </w:p>
    <w:p>
      <w:pPr>
        <w:pStyle w:val="ImageCaption"/>
      </w:pPr>
      <w:r>
        <w:t xml:space="preserve">Federal Application-Aware Networking Series — Six Implementation Tracks, One Compliance Architecture</w:t>
      </w:r>
    </w:p>
    <w:p>
      <w:pPr>
        <w:pStyle w:val="TableCaption"/>
      </w:pPr>
      <w:r>
        <w:t xml:space="preserve">Federal Application-Aware Networking Series — Books 00–15 {.striped .hover}</w:t>
      </w:r>
    </w:p>
    <w:tbl>
      <w:tblPr>
        <w:tblStyle w:val="Table"/>
        <w:tblW w:type="pct" w:w="5000"/>
        <w:tblLook w:firstRow="1" w:lastRow="0" w:firstColumn="0" w:lastColumn="0" w:noHBand="0" w:noVBand="0" w:val="0020"/>
        <w:jc w:val="start"/>
        <w:tblCaption w:val="Federal Application-Aware Networking Series — Books 00–15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3</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4</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5</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6</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7</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8</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9</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10</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11</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12</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13</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14</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r>
        <w:tc>
          <w:tcPr/>
          <w:p>
            <w:pPr>
              <w:pStyle w:val="Compact"/>
              <w:jc w:val="left"/>
            </w:pPr>
            <w:r>
              <w:t xml:space="preserve">Part 15</w:t>
            </w:r>
          </w:p>
        </w:tc>
        <w:tc>
          <w:tcPr/>
          <w:p>
            <w:pPr>
              <w:pStyle w:val="Compact"/>
              <w:jc w:val="left"/>
            </w:pPr>
            <w:r>
              <w:t xml:space="preserve">Federal AAN — Cybersecurity Awareness and Training</w:t>
            </w:r>
          </w:p>
        </w:tc>
        <w:tc>
          <w:tcPr/>
          <w:p>
            <w:pPr>
              <w:pStyle w:val="Compact"/>
              <w:jc w:val="left"/>
            </w:pPr>
            <w:r>
              <w:t xml:space="preserve">AT-2/AT-3 general and role-based training · LMS evidence schema · CP-3 tabletop calendar · IR-2 drill documentation</w:t>
            </w:r>
          </w:p>
        </w:tc>
        <w:tc>
          <w:tcPr/>
          <w:p>
            <w:pPr>
              <w:pStyle w:val="Compact"/>
              <w:jc w:val="left"/>
            </w:pPr>
            <w:r>
              <w:t xml:space="preserve">AT/CP/IR families · KSI-CED-RAT</w:t>
            </w:r>
          </w:p>
        </w:tc>
      </w:tr>
    </w:tbl>
    <w:bookmarkEnd w:id="23"/>
    <w:bookmarkStart w:id="24"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4"/>
    <w:bookmarkStart w:id="29" w:name="X61a7a87a6a804b656956b0680aba9e198648b99"/>
    <w:p>
      <w:pPr>
        <w:pStyle w:val="Heading1"/>
      </w:pPr>
      <w:r>
        <w:rPr>
          <w:rStyle w:val="SectionNumber"/>
        </w:rPr>
        <w:t xml:space="preserve">1</w:t>
      </w:r>
      <w:r>
        <w:tab/>
      </w: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5" w:name="what-assessment-tools-actually-do"/>
    <w:p>
      <w:pPr>
        <w:pStyle w:val="Heading2"/>
      </w:pPr>
      <w:r>
        <w:rPr>
          <w:rStyle w:val="SectionNumber"/>
        </w:rPr>
        <w:t xml:space="preserve">1.1</w:t>
      </w:r>
      <w:r>
        <w:tab/>
      </w: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1"/>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1"/>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1"/>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1"/>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25"/>
    <w:bookmarkStart w:id="26" w:name="the-correct-sequencing"/>
    <w:p>
      <w:pPr>
        <w:pStyle w:val="Heading2"/>
      </w:pPr>
      <w:r>
        <w:rPr>
          <w:rStyle w:val="SectionNumber"/>
        </w:rPr>
        <w:t xml:space="preserve">1.2</w:t>
      </w:r>
      <w:r>
        <w:tab/>
      </w: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00–14</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01–11</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5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12–14</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6"/>
    <w:bookmarkStart w:id="27" w:name="Xbeccda7f0395df87220c304250d30fffcfba132"/>
    <w:p>
      <w:pPr>
        <w:pStyle w:val="Heading2"/>
      </w:pPr>
      <w:r>
        <w:rPr>
          <w:rStyle w:val="SectionNumber"/>
        </w:rPr>
        <w:t xml:space="preserve">1.3</w:t>
      </w:r>
      <w:r>
        <w:tab/>
      </w: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2"/>
        </w:numPr>
        <w:pStyle w:val="Compact"/>
      </w:pPr>
      <w:r>
        <w:rPr>
          <w:bCs/>
          <w:b/>
        </w:rPr>
        <w:t xml:space="preserve">Network layer</w:t>
      </w:r>
      <w:r>
        <w:t xml:space="preserve"> </w:t>
      </w:r>
      <w:r>
        <w:t xml:space="preserve">— DDI, DNS, DHCP, IPAM, DNSSEC, RPZ (InfoBlox)</w:t>
      </w:r>
    </w:p>
    <w:p>
      <w:pPr>
        <w:numPr>
          <w:ilvl w:val="0"/>
          <w:numId w:val="1002"/>
        </w:numPr>
        <w:pStyle w:val="Compact"/>
      </w:pPr>
      <w:r>
        <w:rPr>
          <w:bCs/>
          <w:b/>
        </w:rPr>
        <w:t xml:space="preserve">Transport layer</w:t>
      </w:r>
      <w:r>
        <w:t xml:space="preserve"> </w:t>
      </w:r>
      <w:r>
        <w:t xml:space="preserve">— IPsec overlays, SD-WAN QoS, DIA vs. SASE path selection</w:t>
      </w:r>
    </w:p>
    <w:p>
      <w:pPr>
        <w:numPr>
          <w:ilvl w:val="0"/>
          <w:numId w:val="1002"/>
        </w:numPr>
        <w:pStyle w:val="Compact"/>
      </w:pPr>
      <w:r>
        <w:rPr>
          <w:bCs/>
          <w:b/>
        </w:rPr>
        <w:t xml:space="preserve">Application layer</w:t>
      </w:r>
      <w:r>
        <w:t xml:space="preserve"> </w:t>
      </w:r>
      <w:r>
        <w:t xml:space="preserve">— CASB, SWG, FWaaS, SSL inspection (SASE stack)</w:t>
      </w:r>
    </w:p>
    <w:p>
      <w:pPr>
        <w:numPr>
          <w:ilvl w:val="0"/>
          <w:numId w:val="1002"/>
        </w:numPr>
        <w:pStyle w:val="Compact"/>
      </w:pPr>
      <w:r>
        <w:rPr>
          <w:bCs/>
          <w:b/>
        </w:rPr>
        <w:t xml:space="preserve">Identity layer</w:t>
      </w:r>
      <w:r>
        <w:t xml:space="preserve"> </w:t>
      </w:r>
      <w:r>
        <w:t xml:space="preserve">— Entra ID, Conditional Access, Arc Managed Identity, NTLM elimination</w:t>
      </w:r>
    </w:p>
    <w:p>
      <w:pPr>
        <w:numPr>
          <w:ilvl w:val="0"/>
          <w:numId w:val="1002"/>
        </w:numPr>
        <w:pStyle w:val="Compact"/>
      </w:pPr>
      <w:r>
        <w:rPr>
          <w:bCs/>
          <w:b/>
        </w:rPr>
        <w:t xml:space="preserve">Data layer</w:t>
      </w:r>
      <w:r>
        <w:t xml:space="preserve"> </w:t>
      </w:r>
      <w:r>
        <w:t xml:space="preserve">— SQL Server, TDE, consistency classes, replication physics</w:t>
      </w:r>
    </w:p>
    <w:p>
      <w:pPr>
        <w:numPr>
          <w:ilvl w:val="0"/>
          <w:numId w:val="1002"/>
        </w:numPr>
        <w:pStyle w:val="Compact"/>
      </w:pPr>
      <w:r>
        <w:rPr>
          <w:bCs/>
          <w:b/>
        </w:rPr>
        <w:t xml:space="preserve">Operations layer</w:t>
      </w:r>
      <w:r>
        <w:t xml:space="preserve"> </w:t>
      </w:r>
      <w:r>
        <w:t xml:space="preserve">— Sentinel, Defender XDR, KQL, Logic App playbooks</w:t>
      </w:r>
    </w:p>
    <w:p>
      <w:pPr>
        <w:numPr>
          <w:ilvl w:val="0"/>
          <w:numId w:val="1002"/>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End w:id="27"/>
    <w:bookmarkStart w:id="28" w:name="the-role-of-this-series"/>
    <w:p>
      <w:pPr>
        <w:pStyle w:val="Heading2"/>
      </w:pPr>
      <w:r>
        <w:rPr>
          <w:rStyle w:val="SectionNumber"/>
        </w:rPr>
        <w:t xml:space="preserve">1.4</w:t>
      </w:r>
      <w:r>
        <w:tab/>
      </w: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3"/>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3"/>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3"/>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3"/>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p>
      <w:r>
        <w:pict>
          <v:rect style="width:0;height:1.5pt" o:hralign="center" o:hrstd="t" o:hr="t"/>
        </w:pict>
      </w:r>
    </w:p>
    <w:bookmarkEnd w:id="28"/>
    <w:bookmarkEnd w:id="29"/>
    <w:bookmarkStart w:id="30" w:name="Xd8412075ae72a1334f7aea052d8fa68fa2dbbc2"/>
    <w:p>
      <w:pPr>
        <w:pStyle w:val="Heading1"/>
      </w:pPr>
      <w:r>
        <w:rPr>
          <w:rStyle w:val="SectionNumber"/>
        </w:rPr>
        <w:t xml:space="preserve">2</w:t>
      </w:r>
      <w:r>
        <w:tab/>
      </w: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0"/>
    <w:bookmarkStart w:id="33" w:name="X6f9a64b586cbcc7969c4f245976846e0504a959"/>
    <w:p>
      <w:pPr>
        <w:pStyle w:val="Heading1"/>
      </w:pPr>
      <w:r>
        <w:rPr>
          <w:rStyle w:val="SectionNumber"/>
        </w:rPr>
        <w:t xml:space="preserve">3</w:t>
      </w:r>
      <w:r>
        <w:tab/>
      </w:r>
      <w:r>
        <w:t xml:space="preserve">Part 1 — Landing Zone DDI: InfoBlox DDI Closes 16 NIST Controls</w:t>
      </w:r>
    </w:p>
    <w:bookmarkStart w:id="31" w:name="what-this-document-addresses"/>
    <w:p>
      <w:pPr>
        <w:pStyle w:val="Heading2"/>
      </w:pPr>
      <w:r>
        <w:rPr>
          <w:rStyle w:val="SectionNumber"/>
        </w:rPr>
        <w:t xml:space="preserve">3.1</w:t>
      </w:r>
      <w:r>
        <w:tab/>
      </w: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rPr>
          <w:rStyle w:val="SectionNumber"/>
        </w:rPr>
        <w:t xml:space="preserve">3.2</w:t>
      </w:r>
      <w:r>
        <w:tab/>
      </w: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6" w:name="X30ea934eea704269ad669831dc25cc2e78742e3"/>
    <w:p>
      <w:pPr>
        <w:pStyle w:val="Heading1"/>
      </w:pPr>
      <w:r>
        <w:rPr>
          <w:rStyle w:val="SectionNumber"/>
        </w:rPr>
        <w:t xml:space="preserve">4</w:t>
      </w:r>
      <w:r>
        <w:tab/>
      </w:r>
      <w:r>
        <w:t xml:space="preserve">Part 2 — Telecommunications Modernization: SD-WAN + SASE Closes 7 NIST Controls</w:t>
      </w:r>
    </w:p>
    <w:bookmarkStart w:id="34" w:name="what-this-document-addresses-1"/>
    <w:p>
      <w:pPr>
        <w:pStyle w:val="Heading2"/>
      </w:pPr>
      <w:r>
        <w:rPr>
          <w:rStyle w:val="SectionNumber"/>
        </w:rPr>
        <w:t xml:space="preserve">4.1</w:t>
      </w:r>
      <w:r>
        <w:tab/>
      </w: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bookmarkEnd w:id="34"/>
    <w:bookmarkStart w:id="35" w:name="nist-control-closure-part-2"/>
    <w:p>
      <w:pPr>
        <w:pStyle w:val="Heading2"/>
      </w:pPr>
      <w:r>
        <w:rPr>
          <w:rStyle w:val="SectionNumber"/>
        </w:rPr>
        <w:t xml:space="preserve">4.2</w:t>
      </w:r>
      <w:r>
        <w:tab/>
      </w:r>
      <w:r>
        <w:t xml:space="preserve">NIST Control Closure — Part 2</w:t>
      </w:r>
    </w:p>
    <w:p>
      <w:pPr>
        <w:pStyle w:val="TableCaption"/>
      </w:pPr>
      <w:r>
        <w:t xml:space="preserve">Part 2 — NIST SP 800-53 Rev 5 Control Closure: SD-WAN + SASE for Telecommunications {.striped .hover}</w:t>
      </w:r>
    </w:p>
    <w:tbl>
      <w:tblPr>
        <w:tblStyle w:val="Table"/>
        <w:tblW w:type="pct" w:w="5000"/>
        <w:tblLook w:firstRow="1" w:lastRow="0" w:firstColumn="0" w:lastColumn="0" w:noHBand="0" w:noVBand="0" w:val="0020"/>
        <w:jc w:val="start"/>
        <w:tblCaption w:val="Part 2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2 — Additional Controls for Amazon Connect Boundary Compliance {.striped .hover}</w:t>
      </w:r>
    </w:p>
    <w:tbl>
      <w:tblPr>
        <w:tblStyle w:val="Table"/>
        <w:tblW w:type="pct" w:w="5000"/>
        <w:tblLook w:firstRow="1" w:lastRow="0" w:firstColumn="0" w:lastColumn="0" w:noHBand="0" w:noVBand="0" w:val="0020"/>
        <w:jc w:val="start"/>
        <w:tblCaption w:val="Part 2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35"/>
    <w:bookmarkEnd w:id="36"/>
    <w:bookmarkStart w:id="39" w:name="X75e1654d20273f424251f16299992daf7279c1b"/>
    <w:p>
      <w:pPr>
        <w:pStyle w:val="Heading1"/>
      </w:pPr>
      <w:r>
        <w:rPr>
          <w:rStyle w:val="SectionNumber"/>
        </w:rPr>
        <w:t xml:space="preserve">5</w:t>
      </w:r>
      <w:r>
        <w:tab/>
      </w:r>
      <w:r>
        <w:t xml:space="preserve">Part 3 — Network and Identity Modernization: Entra ID + ZTNA + Active Governance Closes 12 NIST Controls</w:t>
      </w:r>
    </w:p>
    <w:bookmarkStart w:id="37" w:name="what-this-document-addresses-2"/>
    <w:p>
      <w:pPr>
        <w:pStyle w:val="Heading2"/>
      </w:pPr>
      <w:r>
        <w:rPr>
          <w:rStyle w:val="SectionNumber"/>
        </w:rPr>
        <w:t xml:space="preserve">5.1</w:t>
      </w:r>
      <w:r>
        <w:tab/>
      </w: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04"/>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04"/>
        </w:numPr>
        <w:pStyle w:val="Compact"/>
      </w:pPr>
      <w:r>
        <w:rPr>
          <w:bCs/>
          <w:b/>
        </w:rPr>
        <w:t xml:space="preserve">Deploy application-aware networking</w:t>
      </w:r>
      <w:r>
        <w:t xml:space="preserve"> </w:t>
      </w:r>
      <w:r>
        <w:t xml:space="preserve">— enforce policy at the application layer, not the IP/port layer</w:t>
      </w:r>
    </w:p>
    <w:p>
      <w:pPr>
        <w:numPr>
          <w:ilvl w:val="0"/>
          <w:numId w:val="1004"/>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04"/>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37"/>
    <w:bookmarkStart w:id="38" w:name="nist-control-closure-part-3"/>
    <w:p>
      <w:pPr>
        <w:pStyle w:val="Heading2"/>
      </w:pPr>
      <w:r>
        <w:rPr>
          <w:rStyle w:val="SectionNumber"/>
        </w:rPr>
        <w:t xml:space="preserve">5.2</w:t>
      </w:r>
      <w:r>
        <w:tab/>
      </w:r>
      <w:r>
        <w:t xml:space="preserve">NIST Control Closure — Part 3</w:t>
      </w:r>
    </w:p>
    <w:p>
      <w:pPr>
        <w:pStyle w:val="TableCaption"/>
      </w:pPr>
      <w:r>
        <w:t xml:space="preserve">Part 3 — NIST SP 800-53 Rev 5 Control Closure: Entra ID + ZTNA + Active Governance {.striped .hover}</w:t>
      </w:r>
    </w:p>
    <w:tbl>
      <w:tblPr>
        <w:tblStyle w:val="Table"/>
        <w:tblW w:type="pct" w:w="5000"/>
        <w:tblLook w:firstRow="1" w:lastRow="0" w:firstColumn="0" w:lastColumn="0" w:noHBand="0" w:noVBand="0" w:val="0020"/>
        <w:jc w:val="start"/>
        <w:tblCaption w:val="Part 3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38"/>
    <w:bookmarkEnd w:id="39"/>
    <w:bookmarkStart w:id="43" w:name="Xd252ab34334012dd1d4c02437079d82f9ec3c20"/>
    <w:p>
      <w:pPr>
        <w:pStyle w:val="Heading1"/>
      </w:pPr>
      <w:r>
        <w:rPr>
          <w:rStyle w:val="SectionNumber"/>
        </w:rPr>
        <w:t xml:space="preserve">6</w:t>
      </w:r>
      <w:r>
        <w:tab/>
      </w:r>
      <w:r>
        <w:t xml:space="preserve">Parts 4–6 — SQL Server and Database Architecture</w:t>
      </w:r>
    </w:p>
    <w:bookmarkStart w:id="40" w:name="what-these-documents-address"/>
    <w:p>
      <w:pPr>
        <w:pStyle w:val="Heading2"/>
      </w:pPr>
      <w:r>
        <w:rPr>
          <w:rStyle w:val="SectionNumber"/>
        </w:rPr>
        <w:t xml:space="preserve">6.1</w:t>
      </w:r>
      <w:r>
        <w:tab/>
      </w:r>
      <w:r>
        <w:t xml:space="preserve">What These Documents Address</w:t>
      </w:r>
    </w:p>
    <w:p>
      <w:pPr>
        <w:pStyle w:val="FirstParagraph"/>
      </w:pPr>
      <w:r>
        <w:t xml:space="preserve">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pPr>
        <w:pStyle w:val="BodyText"/>
      </w:pPr>
      <w:r>
        <w:rPr>
          <w:bCs/>
          <w:b/>
        </w:rPr>
        <w:t xml:space="preserve">Part 4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5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6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0"/>
    <w:bookmarkStart w:id="41" w:name="X19fcd4aef2aa8044043fe8006e12f2222ec8243"/>
    <w:p>
      <w:pPr>
        <w:pStyle w:val="Heading2"/>
      </w:pPr>
      <w:r>
        <w:rPr>
          <w:rStyle w:val="SectionNumber"/>
        </w:rPr>
        <w:t xml:space="preserve">6.2</w:t>
      </w:r>
      <w:r>
        <w:tab/>
      </w:r>
      <w:r>
        <w:t xml:space="preserve">NIST Control Closure — Parts 4 and 5 (SQL Server Authentication)</w:t>
      </w:r>
    </w:p>
    <w:p>
      <w:pPr>
        <w:pStyle w:val="TableCaption"/>
      </w:pPr>
      <w:r>
        <w:t xml:space="preserve">Parts 4-5 — NIST SP 800-53 Rev 5 Control Closure: SQL Server Authentication Modernization {.striped .hover}</w:t>
      </w:r>
    </w:p>
    <w:tbl>
      <w:tblPr>
        <w:tblStyle w:val="Table"/>
        <w:tblW w:type="pct" w:w="5000"/>
        <w:tblLook w:firstRow="1" w:lastRow="0" w:firstColumn="0" w:lastColumn="0" w:noHBand="0" w:noVBand="0" w:val="0020"/>
        <w:jc w:val="start"/>
        <w:tblCaption w:val="Parts 4-5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4-5):</w:t>
      </w:r>
      <w:r>
        <w:t xml:space="preserve"> </w:t>
      </w:r>
      <w:r>
        <w:t xml:space="preserve">IA-2, IA-3, IA-5, AC-2, AC-3, AC-17, AU-2/AU-12, CA-7, CM-2/CM-8, SC-8, SI-4 — all are deepened closures of controls addressed in Parts 1–3 at the identity and network layers, now extended to the database authentication layer.</w:t>
      </w:r>
    </w:p>
    <w:bookmarkEnd w:id="41"/>
    <w:bookmarkStart w:id="42" w:name="Xaffe3f4ea1f8c7a262674aad82b0a753f6b690f"/>
    <w:p>
      <w:pPr>
        <w:pStyle w:val="Heading2"/>
      </w:pPr>
      <w:r>
        <w:rPr>
          <w:rStyle w:val="SectionNumber"/>
        </w:rPr>
        <w:t xml:space="preserve">6.3</w:t>
      </w:r>
      <w:r>
        <w:tab/>
      </w:r>
      <w:r>
        <w:t xml:space="preserve">NIST Control Closure — Part 6 (Database Architecture and Network Physics)</w:t>
      </w:r>
    </w:p>
    <w:p>
      <w:pPr>
        <w:pStyle w:val="TableCaption"/>
      </w:pPr>
      <w:r>
        <w:t xml:space="preserve">Part 6 — NIST SP 800-53 Rev 5 Control Closure: Database Consolidation and Network Physics {.striped .hover}</w:t>
      </w:r>
    </w:p>
    <w:tbl>
      <w:tblPr>
        <w:tblStyle w:val="Table"/>
        <w:tblW w:type="pct" w:w="5000"/>
        <w:tblLook w:firstRow="1" w:lastRow="0" w:firstColumn="0" w:lastColumn="0" w:noHBand="0" w:noVBand="0" w:val="0020"/>
        <w:jc w:val="start"/>
        <w:tblCaption w:val="Part 6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6</w:t>
      </w:r>
      <w:r>
        <w:t xml:space="preserve"> </w:t>
      </w:r>
      <w:r>
        <w:t xml:space="preserve">(not addressed in Parts 1–5):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42"/>
    <w:bookmarkEnd w:id="43"/>
    <w:bookmarkStart w:id="45" w:name="parts-714-expanded-control-coverage"/>
    <w:p>
      <w:pPr>
        <w:pStyle w:val="Heading1"/>
      </w:pPr>
      <w:r>
        <w:rPr>
          <w:rStyle w:val="SectionNumber"/>
        </w:rPr>
        <w:t xml:space="preserve">7</w:t>
      </w:r>
      <w:r>
        <w:tab/>
      </w:r>
      <w:r>
        <w:t xml:space="preserve">Parts 7–14 — Expanded Control Coverage</w:t>
      </w:r>
    </w:p>
    <w:p>
      <w:pPr>
        <w:pStyle w:val="FirstParagraph"/>
      </w:pPr>
      <w:r>
        <w:t xml:space="preserve">Parts 7 through 11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12–14 close the three control families the network and security architecture documents cannot address on their own: supply chain risk management, program management governance, and PII processing transparency.</w:t>
      </w:r>
    </w:p>
    <w:bookmarkStart w:id="44" w:name="nist-control-closure-parts-715"/>
    <w:p>
      <w:pPr>
        <w:pStyle w:val="Heading2"/>
      </w:pPr>
      <w:r>
        <w:rPr>
          <w:rStyle w:val="SectionNumber"/>
        </w:rPr>
        <w:t xml:space="preserve">7.1</w:t>
      </w:r>
      <w:r>
        <w:tab/>
      </w:r>
      <w:r>
        <w:t xml:space="preserve">NIST Control Closure — Parts 7–15</w:t>
      </w:r>
    </w:p>
    <w:p>
      <w:pPr>
        <w:pStyle w:val="TableCaption"/>
      </w:pPr>
      <w:r>
        <w:t xml:space="preserve">Parts 7–15 — NIST SP 800-53 Rev 5 Control Coverage {.striped .hover}</w:t>
      </w:r>
    </w:p>
    <w:tbl>
      <w:tblPr>
        <w:tblStyle w:val="Table"/>
        <w:tblW w:type="pct" w:w="5000"/>
        <w:tblLook w:firstRow="1" w:lastRow="0" w:firstColumn="0" w:lastColumn="0" w:noHBand="0" w:noVBand="0" w:val="0020"/>
        <w:jc w:val="start"/>
        <w:tblCaption w:val="Parts 7–15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7</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8</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9</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10</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11</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12</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13</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14</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r>
        <w:tc>
          <w:tcPr/>
          <w:p>
            <w:pPr>
              <w:pStyle w:val="Compact"/>
              <w:jc w:val="left"/>
            </w:pPr>
            <w:r>
              <w:rPr>
                <w:bCs/>
                <w:b/>
              </w:rPr>
              <w:t xml:space="preserve">Part 15</w:t>
            </w:r>
          </w:p>
        </w:tc>
        <w:tc>
          <w:tcPr/>
          <w:p>
            <w:pPr>
              <w:pStyle w:val="Compact"/>
              <w:jc w:val="left"/>
            </w:pPr>
            <w:r>
              <w:t xml:space="preserve">Cybersecurity Awareness and Training</w:t>
            </w:r>
          </w:p>
        </w:tc>
        <w:tc>
          <w:tcPr/>
          <w:p>
            <w:pPr>
              <w:pStyle w:val="Compact"/>
              <w:jc w:val="left"/>
            </w:pPr>
            <w:r>
              <w:t xml:space="preserve">AT-2, AT-2(1), AT-2(2), AT-3, AT-3(3), AT-3(5), AT-4, CP-3, IR-2</w:t>
            </w:r>
          </w:p>
        </w:tc>
        <w:tc>
          <w:tcPr/>
          <w:p>
            <w:pPr>
              <w:pStyle w:val="Compact"/>
              <w:jc w:val="left"/>
            </w:pPr>
            <w:r>
              <w:t xml:space="preserve">LMS · Viva Learning · Microsoft 365 Compliance</w:t>
            </w:r>
          </w:p>
        </w:tc>
      </w:tr>
    </w:tbl>
    <w:p>
      <w:pPr>
        <w:pStyle w:val="BodyText"/>
      </w:pPr>
      <w:r>
        <w:rPr>
          <w:bCs/>
          <w:b/>
        </w:rPr>
        <w:t xml:space="preserve">KSI alignment:</w:t>
      </w:r>
      <w:r>
        <w:t xml:space="preserve"> </w:t>
      </w:r>
      <w:r>
        <w:t xml:space="preserve">Parts 7–11 map to KSI-MLA (Monitoring, Logging, Alerting),</w:t>
      </w:r>
      <w:r>
        <w:t xml:space="preserve"> </w:t>
      </w:r>
      <w:r>
        <w:t xml:space="preserve">KSI-SVC (Service Configuration), and KSI-IAM (Identity and Access Management)</w:t>
      </w:r>
      <w:r>
        <w:t xml:space="preserve"> </w:t>
      </w:r>
      <w:r>
        <w:t xml:space="preserve">themes in the FedRAMP 20x Consolidated Rules. Part 10 (Sentinel) is the primary</w:t>
      </w:r>
      <w:r>
        <w:t xml:space="preserve"> </w:t>
      </w:r>
      <w:r>
        <w:t xml:space="preserve">MLA evidence source; Parts 7 and 8 contribute KSI-IAM-ELP (Least Privilege) and</w:t>
      </w:r>
      <w:r>
        <w:t xml:space="preserve"> </w:t>
      </w:r>
      <w:r>
        <w:t xml:space="preserve">KSI-MLA-ALA (Analyzing and Acting on Alerts) respectively. Parts 12–14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Cs/>
          <w:b/>
        </w:rPr>
        <w:t xml:space="preserve">Part 15 activates</w:t>
      </w:r>
      <w:r>
        <w:rPr>
          <w:bCs/>
          <w:b/>
        </w:rPr>
        <w:t xml:space="preserve"> </w:t>
      </w:r>
      <w:r>
        <w:rPr>
          <w:bCs/>
          <w:b/>
        </w:rPr>
        <w:t xml:space="preserve">KSI-022 (KSI-CED-RAT)</w:t>
      </w:r>
      <w:r>
        <w:t xml:space="preserve">, the only remaining scaffold KSI — delivering the</w:t>
      </w:r>
      <w:r>
        <w:t xml:space="preserve"> </w:t>
      </w:r>
      <w:r>
        <w:t xml:space="preserve">machine-readable LMS training-effectiveness record that binds the AT family to the</w:t>
      </w:r>
      <w:r>
        <w:t xml:space="preserve"> </w:t>
      </w:r>
      <w:r>
        <w:t xml:space="preserve">Conformance Adapter and makes all 29 CR26 KSIs evaluable.</w:t>
      </w:r>
    </w:p>
    <w:p>
      <w:r>
        <w:pict>
          <v:rect style="width:0;height:1.5pt" o:hralign="center" o:hrstd="t" o:hr="t"/>
        </w:pict>
      </w:r>
    </w:p>
    <w:bookmarkEnd w:id="44"/>
    <w:bookmarkEnd w:id="45"/>
    <w:bookmarkStart w:id="52" w:name="combined-control-closure-summary"/>
    <w:p>
      <w:pPr>
        <w:pStyle w:val="Heading1"/>
      </w:pPr>
      <w:r>
        <w:rPr>
          <w:rStyle w:val="SectionNumber"/>
        </w:rPr>
        <w:t xml:space="preserve">8</w:t>
      </w:r>
      <w:r>
        <w:tab/>
      </w:r>
      <w:r>
        <w:t xml:space="preserve">Combined Control Closure Summary</w:t>
      </w:r>
    </w:p>
    <w:p>
      <w:pPr>
        <w:pStyle w:val="CaptionedFigure"/>
      </w:pPr>
      <w:r>
        <w:drawing>
          <wp:inline>
            <wp:extent cx="7772400" cy="4035668"/>
            <wp:effectExtent b="0" l="0" r="0" t="0"/>
            <wp:docPr descr="NIST SP 800-53 Control Closure by Family and Track — All Six Parts" title="" id="47" name="Picture"/>
            <a:graphic>
              <a:graphicData uri="http://schemas.openxmlformats.org/drawingml/2006/picture">
                <pic:pic>
                  <pic:nvPicPr>
                    <pic:cNvPr descr="figs/es-fig-02-control-closure-chart.png" id="48" name="Picture"/>
                    <pic:cNvPicPr>
                      <a:picLocks noChangeArrowheads="1" noChangeAspect="1"/>
                    </pic:cNvPicPr>
                  </pic:nvPicPr>
                  <pic:blipFill>
                    <a:blip r:embed="rId46"/>
                    <a:stretch>
                      <a:fillRect/>
                    </a:stretch>
                  </pic:blipFill>
                  <pic:spPr bwMode="auto">
                    <a:xfrm>
                      <a:off x="0" y="0"/>
                      <a:ext cx="7772400" cy="4035668"/>
                    </a:xfrm>
                    <a:prstGeom prst="rect">
                      <a:avLst/>
                    </a:prstGeom>
                    <a:noFill/>
                    <a:ln w="9525">
                      <a:noFill/>
                      <a:headEnd/>
                      <a:tailEnd/>
                    </a:ln>
                  </pic:spPr>
                </pic:pic>
              </a:graphicData>
            </a:graphic>
          </wp:inline>
        </w:drawing>
      </w:r>
    </w:p>
    <w:p>
      <w:pPr>
        <w:pStyle w:val="ImageCaption"/>
      </w:pPr>
      <w:r>
        <w:t xml:space="preserve">NIST SP 800-53 Control Closure by Family and Track — All Six Parts</w:t>
      </w:r>
    </w:p>
    <w:bookmarkStart w:id="49" w:name="X9338e32c6e8ebad6c3f8cbbfe99c79ac65ab982"/>
    <w:p>
      <w:pPr>
        <w:pStyle w:val="Heading2"/>
      </w:pPr>
      <w:r>
        <w:rPr>
          <w:rStyle w:val="SectionNumber"/>
        </w:rPr>
        <w:t xml:space="preserve">8.1</w:t>
      </w:r>
      <w:r>
        <w:tab/>
      </w:r>
      <w:r>
        <w:t xml:space="preserve">Total Controls Closed Across All Six Implementations</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2, 3, 6</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3, 4-5</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2, 3, 4-5, 6</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3, 4-5</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2, 3, 4-5</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2, 3, 4-5, 6</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6</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2, 6</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2, 3, 4-5</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49"/>
    <w:bookmarkStart w:id="50" w:name="control-count-comparison"/>
    <w:p>
      <w:pPr>
        <w:pStyle w:val="Heading2"/>
      </w:pPr>
      <w:r>
        <w:rPr>
          <w:rStyle w:val="SectionNumber"/>
        </w:rPr>
        <w:t xml:space="preserve">8.2</w:t>
      </w:r>
      <w:r>
        <w:tab/>
      </w: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2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3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4–5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6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bookmarkEnd w:id="50"/>
    <w:bookmarkStart w:id="51" w:name="what-closed-means-under-fedramp-20x"/>
    <w:p>
      <w:pPr>
        <w:pStyle w:val="Heading2"/>
      </w:pPr>
      <w:r>
        <w:rPr>
          <w:rStyle w:val="SectionNumber"/>
        </w:rPr>
        <w:t xml:space="preserve">8.3</w:t>
      </w:r>
      <w:r>
        <w:tab/>
      </w: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05"/>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05"/>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05"/>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05"/>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06"/>
        </w:numPr>
        <w:pStyle w:val="Compact"/>
      </w:pPr>
      <w:r>
        <w:rPr>
          <w:bCs/>
          <w:b/>
        </w:rPr>
        <w:t xml:space="preserve">InfoBlox WAPI</w:t>
      </w:r>
      <w:r>
        <w:t xml:space="preserve"> </w:t>
      </w:r>
      <w:r>
        <w:t xml:space="preserve">exports all DDI evidence as structured JSON</w:t>
      </w:r>
    </w:p>
    <w:p>
      <w:pPr>
        <w:numPr>
          <w:ilvl w:val="0"/>
          <w:numId w:val="1006"/>
        </w:numPr>
        <w:pStyle w:val="Compact"/>
      </w:pPr>
      <w:r>
        <w:rPr>
          <w:bCs/>
          <w:b/>
        </w:rPr>
        <w:t xml:space="preserve">SASE stack</w:t>
      </w:r>
      <w:r>
        <w:t xml:space="preserve"> </w:t>
      </w:r>
      <w:r>
        <w:t xml:space="preserve">exports per-session telemetry in structured log format</w:t>
      </w:r>
    </w:p>
    <w:p>
      <w:pPr>
        <w:numPr>
          <w:ilvl w:val="0"/>
          <w:numId w:val="1006"/>
        </w:numPr>
        <w:pStyle w:val="Compact"/>
      </w:pPr>
      <w:r>
        <w:rPr>
          <w:bCs/>
          <w:b/>
        </w:rPr>
        <w:t xml:space="preserve">Active Governance control plane</w:t>
      </w:r>
      <w:r>
        <w:t xml:space="preserve"> </w:t>
      </w:r>
      <w:r>
        <w:t xml:space="preserve">generates desired-vs-actual JSON records as its primary output</w:t>
      </w:r>
    </w:p>
    <w:p>
      <w:pPr>
        <w:numPr>
          <w:ilvl w:val="0"/>
          <w:numId w:val="1006"/>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06"/>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51"/>
    <w:bookmarkEnd w:id="52"/>
    <w:bookmarkStart w:id="58" w:name="X13ad49f0ab0a3c4624d7046d7573c0f02162bc7"/>
    <w:p>
      <w:pPr>
        <w:pStyle w:val="Heading1"/>
      </w:pPr>
      <w:r>
        <w:rPr>
          <w:rStyle w:val="SectionNumber"/>
        </w:rPr>
        <w:t xml:space="preserve">9</w:t>
      </w:r>
      <w:r>
        <w:tab/>
      </w:r>
      <w:r>
        <w:t xml:space="preserve">Previously Identified Gaps — Now Closed by Parts 12–14</w:t>
      </w:r>
    </w:p>
    <w:p>
      <w:pPr>
        <w:pStyle w:val="FirstParagraph"/>
      </w:pPr>
      <w:r>
        <w:t xml:space="preserve">Three NIST SP 800-53 control families required additional artifacts beyond</w:t>
      </w:r>
      <w:r>
        <w:t xml:space="preserve"> </w:t>
      </w:r>
      <w:r>
        <w:t xml:space="preserve">network and security architecture documents. Parts 12–14 were authored to close</w:t>
      </w:r>
      <w:r>
        <w:t xml:space="preserve"> </w:t>
      </w:r>
      <w:r>
        <w:t xml:space="preserve">these gaps; the series is now complete across all identified control families.</w:t>
      </w:r>
    </w:p>
    <w:bookmarkStart w:id="53" w:name="Xa81065e3c6a65dd344b5d14588b12711850ea25"/>
    <w:p>
      <w:pPr>
        <w:pStyle w:val="Heading2"/>
      </w:pPr>
      <w:r>
        <w:rPr>
          <w:rStyle w:val="SectionNumber"/>
        </w:rPr>
        <w:t xml:space="preserve">9.1</w:t>
      </w:r>
      <w:r>
        <w:tab/>
      </w: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12.</w:t>
      </w:r>
    </w:p>
    <w:p>
      <w:pPr>
        <w:pStyle w:val="BodyText"/>
      </w:pPr>
      <w:r>
        <w:rPr>
          <w:bCs/>
          <w:b/>
        </w:rPr>
        <w:t xml:space="preserve">Controls closed:</w:t>
      </w:r>
      <w:r>
        <w:t xml:space="preserve"> </w:t>
      </w:r>
      <w:r>
        <w:t xml:space="preserve">SR-1, SR-2, SR-3, SR-5, SR-6, SR-8, SR-10, SR-11</w:t>
      </w:r>
    </w:p>
    <w:p>
      <w:pPr>
        <w:pStyle w:val="BodyText"/>
      </w:pPr>
      <w:r>
        <w:rPr>
          <w:bCs/>
          <w:b/>
        </w:rPr>
        <w:t xml:space="preserve">Part 12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3"/>
    <w:bookmarkStart w:id="54" w:name="pm-program-management"/>
    <w:p>
      <w:pPr>
        <w:pStyle w:val="Heading2"/>
      </w:pPr>
      <w:r>
        <w:rPr>
          <w:rStyle w:val="SectionNumber"/>
        </w:rPr>
        <w:t xml:space="preserve">9.2</w:t>
      </w:r>
      <w:r>
        <w:tab/>
      </w: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13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54"/>
    <w:bookmarkStart w:id="55" w:name="pt-pii-processing-and-transparency"/>
    <w:p>
      <w:pPr>
        <w:pStyle w:val="Heading2"/>
      </w:pPr>
      <w:r>
        <w:rPr>
          <w:rStyle w:val="SectionNumber"/>
        </w:rPr>
        <w:t xml:space="preserve">9.3</w:t>
      </w:r>
      <w:r>
        <w:tab/>
      </w: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14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9 sensitivity labels. KSI-PIY-RSD activated</w:t>
      </w:r>
      <w:r>
        <w:t xml:space="preserve"> </w:t>
      </w:r>
      <w:r>
        <w:t xml:space="preserve">at high confidence.</w:t>
      </w:r>
    </w:p>
    <w:bookmarkEnd w:id="55"/>
    <w:bookmarkStart w:id="56" w:name="X461ed25ed3923a3d8b55e0e3965ec2f4255b061"/>
    <w:p>
      <w:pPr>
        <w:pStyle w:val="Heading2"/>
      </w:pPr>
      <w:r>
        <w:rPr>
          <w:rStyle w:val="SectionNumber"/>
        </w:rPr>
        <w:t xml:space="preserve">9.4</w:t>
      </w:r>
      <w:r>
        <w:tab/>
      </w:r>
      <w:r>
        <w:t xml:space="preserve">AT — Cybersecurity Awareness and Training (KSI-022 Gate)</w:t>
      </w:r>
    </w:p>
    <w:p>
      <w:pPr>
        <w:pStyle w:val="FirstParagraph"/>
      </w:pPr>
      <w:r>
        <w:t xml:space="preserve">The FedRAMP 20x KSI-CED-RAT (</w:t>
      </w:r>
      <w:r>
        <w:t xml:space="preserve">“</w:t>
      </w:r>
      <w:r>
        <w:t xml:space="preserve">Reviewing All Training</w:t>
      </w:r>
      <w:r>
        <w:t xml:space="preserve">”</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Cs/>
          <w:b/>
        </w:rPr>
        <w:t xml:space="preserve">Controls closed:</w:t>
      </w:r>
      <w:r>
        <w:t xml:space="preserve"> </w:t>
      </w:r>
      <w:r>
        <w:t xml:space="preserve">AT-2, AT-2(1), AT-2(2), AT-3, AT-3(3), AT-3(5), AT-4, CP-3, IR-2</w:t>
      </w:r>
    </w:p>
    <w:p>
      <w:pPr>
        <w:pStyle w:val="BodyText"/>
      </w:pPr>
      <w:r>
        <w:rPr>
          <w:bCs/>
          <w:b/>
        </w:rPr>
        <w:t xml:space="preserve">Part 15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56"/>
    <w:bookmarkStart w:id="57" w:name="priority-4-cr26-breadth-gaps-resolved"/>
    <w:p>
      <w:pPr>
        <w:pStyle w:val="Heading2"/>
      </w:pPr>
      <w:r>
        <w:rPr>
          <w:rStyle w:val="SectionNumber"/>
        </w:rPr>
        <w:t xml:space="preserve">9.5</w:t>
      </w:r>
      <w:r>
        <w:tab/>
      </w:r>
      <w:r>
        <w:t xml:space="preserve">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12–14, CED by Part 15. INR (Incident</w:t>
      </w:r>
      <w:r>
        <w:t xml:space="preserve"> </w:t>
      </w:r>
      <w:r>
        <w:t xml:space="preserve">Notification and Response) and RPL (Replication and Continuity) are served</w:t>
      </w:r>
      <w:r>
        <w:t xml:space="preserve"> </w:t>
      </w:r>
      <w:r>
        <w:t xml:space="preserve">by Parts 10–11 through Sentinel/XDR playbooks and the Business Continuity</w:t>
      </w:r>
      <w:r>
        <w:t xml:space="preserve"> </w:t>
      </w:r>
      <w:r>
        <w:t xml:space="preserve">DR architecture. All scaffold KSIs have been activated.</w:t>
      </w:r>
    </w:p>
    <w:p>
      <w:r>
        <w:pict>
          <v:rect style="width:0;height:1.5pt" o:hralign="center" o:hrstd="t" o:hr="t"/>
        </w:pict>
      </w:r>
    </w:p>
    <w:bookmarkEnd w:id="57"/>
    <w:bookmarkEnd w:id="58"/>
    <w:bookmarkStart w:id="59" w:name="Xe8a0cfc3dacfc499165fbb6b52941ca764a0109"/>
    <w:p>
      <w:pPr>
        <w:pStyle w:val="Heading1"/>
      </w:pPr>
      <w:r>
        <w:rPr>
          <w:rStyle w:val="SectionNumber"/>
        </w:rPr>
        <w:t xml:space="preserve">10</w:t>
      </w:r>
      <w:r>
        <w:tab/>
      </w:r>
      <w:r>
        <w:t xml:space="preserve">Conformance Adapter and OSCAL Emitter Framework</w:t>
      </w:r>
    </w:p>
    <w:p>
      <w:pPr>
        <w:pStyle w:val="FirstParagraph"/>
      </w:pPr>
      <w:r>
        <w:t xml:space="preserve">The fifteen-book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 Without it,</w:t>
      </w:r>
      <w:r>
        <w:t xml:space="preserve"> </w:t>
      </w:r>
      <w:r>
        <w:t xml:space="preserve">the AAN evidence exists but cannot be transmitted in the format evaluators</w:t>
      </w:r>
      <w:r>
        <w:t xml:space="preserve"> </w:t>
      </w:r>
      <w:r>
        <w:t xml:space="preserve">require.</w:t>
      </w:r>
    </w:p>
    <w:p>
      <w:pPr>
        <w:pStyle w:val="BodyText"/>
      </w:pPr>
      <w:r>
        <w:rPr>
          <w:bCs/>
          <w:b/>
        </w:rPr>
        <w:t xml:space="preserve">Current state:</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Blocking Items</w:t>
            </w:r>
          </w:p>
        </w:tc>
      </w:tr>
      <w:tr>
        <w:tc>
          <w:tcPr/>
          <w:p>
            <w:pPr>
              <w:pStyle w:val="Compact"/>
              <w:jc w:val="left"/>
            </w:pPr>
            <w:r>
              <w:t xml:space="preserve">Conformance Adapter schema</w:t>
            </w:r>
          </w:p>
        </w:tc>
        <w:tc>
          <w:tcPr/>
          <w:p>
            <w:pPr>
              <w:pStyle w:val="Compact"/>
              <w:jc w:val="left"/>
            </w:pPr>
            <w:r>
              <w:t xml:space="preserve">Defined</w:t>
            </w:r>
          </w:p>
        </w:tc>
        <w:tc>
          <w:tcPr/>
          <w:p>
            <w:pPr>
              <w:pStyle w:val="Compact"/>
              <w:jc w:val="left"/>
            </w:pPr>
            <w:r>
              <w:t xml:space="preserve">—</w:t>
            </w:r>
          </w:p>
        </w:tc>
      </w:tr>
      <w:tr>
        <w:tc>
          <w:tcPr/>
          <w:p>
            <w:pPr>
              <w:pStyle w:val="Compact"/>
              <w:jc w:val="left"/>
            </w:pPr>
            <w:r>
              <w:t xml:space="preserve">Surface slots 1–4 (IAM, Addressing, Network, Telemetry)</w:t>
            </w:r>
          </w:p>
        </w:tc>
        <w:tc>
          <w:tcPr/>
          <w:p>
            <w:pPr>
              <w:pStyle w:val="Compact"/>
              <w:jc w:val="left"/>
            </w:pPr>
            <w:r>
              <w:t xml:space="preserve">Bound to AAN evidence</w:t>
            </w:r>
          </w:p>
        </w:tc>
        <w:tc>
          <w:tcPr/>
          <w:p>
            <w:pPr>
              <w:pStyle w:val="Compact"/>
              <w:jc w:val="left"/>
            </w:pPr>
            <w:r>
              <w:t xml:space="preserve">—</w:t>
            </w:r>
          </w:p>
        </w:tc>
      </w:tr>
      <w:tr>
        <w:tc>
          <w:tcPr/>
          <w:p>
            <w:pPr>
              <w:pStyle w:val="Compact"/>
              <w:jc w:val="left"/>
            </w:pPr>
            <w:r>
              <w:t xml:space="preserve">Surface slots 5–6 (Endpoint, Security)</w:t>
            </w:r>
          </w:p>
        </w:tc>
        <w:tc>
          <w:tcPr/>
          <w:p>
            <w:pPr>
              <w:pStyle w:val="Compact"/>
              <w:jc w:val="left"/>
            </w:pPr>
            <w:r>
              <w:t xml:space="preserve">Phase 1 — Aug 2026</w:t>
            </w:r>
          </w:p>
        </w:tc>
        <w:tc>
          <w:tcPr/>
          <w:p>
            <w:pPr>
              <w:pStyle w:val="Compact"/>
              <w:jc w:val="left"/>
            </w:pPr>
            <w:r>
              <w:t xml:space="preserve">—</w:t>
            </w:r>
          </w:p>
        </w:tc>
      </w:tr>
      <w:tr>
        <w:tc>
          <w:tcPr/>
          <w:p>
            <w:pPr>
              <w:pStyle w:val="Compact"/>
              <w:jc w:val="left"/>
            </w:pPr>
            <w:r>
              <w:t xml:space="preserve">OSCAL Emitter</w:t>
            </w:r>
          </w:p>
        </w:tc>
        <w:tc>
          <w:tcPr/>
          <w:p>
            <w:pPr>
              <w:pStyle w:val="Compact"/>
              <w:jc w:val="left"/>
            </w:pPr>
            <w:r>
              <w:t xml:space="preserve">Scaffold</w:t>
            </w:r>
          </w:p>
        </w:tc>
        <w:tc>
          <w:tcPr/>
          <w:p>
            <w:pPr>
              <w:pStyle w:val="Compact"/>
              <w:jc w:val="left"/>
            </w:pPr>
            <w:r>
              <w:t xml:space="preserve">Produces partial AP; no AR or POAM yet</w:t>
            </w:r>
          </w:p>
        </w:tc>
      </w:tr>
      <w:tr>
        <w:tc>
          <w:tcPr/>
          <w:p>
            <w:pPr>
              <w:pStyle w:val="Compact"/>
              <w:jc w:val="left"/>
            </w:pPr>
            <w:r>
              <w:t xml:space="preserve">KSI-011–014 (SR)</w:t>
            </w:r>
          </w:p>
        </w:tc>
        <w:tc>
          <w:tcPr/>
          <w:p>
            <w:pPr>
              <w:pStyle w:val="Compact"/>
              <w:jc w:val="left"/>
            </w:pPr>
            <w:r>
              <w:t xml:space="preserve">Scaffold</w:t>
            </w:r>
          </w:p>
        </w:tc>
        <w:tc>
          <w:tcPr/>
          <w:p>
            <w:pPr>
              <w:pStyle w:val="Compact"/>
              <w:jc w:val="left"/>
            </w:pPr>
            <w:r>
              <w:t xml:space="preserve">Requires Part 12 SR/SBOM artifacts</w:t>
            </w:r>
          </w:p>
        </w:tc>
      </w:tr>
    </w:tbl>
    <w:p>
      <w:pPr>
        <w:pStyle w:val="BodyText"/>
      </w:pPr>
      <w:r>
        <w:rPr>
          <w:bCs/>
          <w:b/>
        </w:rPr>
        <w:t xml:space="preserve">Blockers before OSCAL output is evaluable:</w:t>
      </w:r>
    </w:p>
    <w:p>
      <w:pPr>
        <w:numPr>
          <w:ilvl w:val="0"/>
          <w:numId w:val="1007"/>
        </w:numPr>
        <w:pStyle w:val="Compact"/>
      </w:pPr>
      <w:r>
        <w:t xml:space="preserve">All 6 surface slots must have at least one bound rule per KSI they contribute to</w:t>
      </w:r>
    </w:p>
    <w:p>
      <w:pPr>
        <w:numPr>
          <w:ilvl w:val="0"/>
          <w:numId w:val="1007"/>
        </w:numPr>
        <w:pStyle w:val="Compact"/>
      </w:pPr>
      <w:r>
        <w:t xml:space="preserve">KSI-011–014 require SR artifacts (VDR/VER) before bound rules can be authored</w:t>
      </w:r>
    </w:p>
    <w:p>
      <w:pPr>
        <w:numPr>
          <w:ilvl w:val="0"/>
          <w:numId w:val="1007"/>
        </w:numPr>
        <w:pStyle w:val="Compact"/>
      </w:pPr>
      <w:r>
        <w:t xml:space="preserve">The OSCAL Emitter must be extended to produce AR (Assessment Results) with</w:t>
      </w:r>
      <w:r>
        <w:t xml:space="preserve"> </w:t>
      </w:r>
      <w:r>
        <w:rPr>
          <w:rStyle w:val="VerbatimChar"/>
        </w:rPr>
        <w:t xml:space="preserve">satisfied</w:t>
      </w:r>
      <w:r>
        <w:t xml:space="preserve">/</w:t>
      </w:r>
      <w:r>
        <w:rPr>
          <w:rStyle w:val="VerbatimChar"/>
        </w:rPr>
        <w:t xml:space="preserve">not-satisfied</w:t>
      </w:r>
      <w:r>
        <w:t xml:space="preserve"> </w:t>
      </w:r>
      <w:r>
        <w:t xml:space="preserve">status per KSI, not just AP (Assessment Plan)</w:t>
      </w:r>
    </w:p>
    <w:p>
      <w:r>
        <w:pict>
          <v:rect style="width:0;height:1.5pt" o:hralign="center" o:hrstd="t" o:hr="t"/>
        </w:pict>
      </w:r>
    </w:p>
    <w:bookmarkEnd w:id="59"/>
    <w:bookmarkStart w:id="65" w:name="implementation-priority-and-sequencing"/>
    <w:p>
      <w:pPr>
        <w:pStyle w:val="Heading1"/>
      </w:pPr>
      <w:r>
        <w:rPr>
          <w:rStyle w:val="SectionNumber"/>
        </w:rPr>
        <w:t xml:space="preserve">11</w:t>
      </w:r>
      <w:r>
        <w:tab/>
      </w:r>
      <w:r>
        <w:t xml:space="preserve">Implementation Priority and Sequencing</w:t>
      </w:r>
    </w:p>
    <w:p>
      <w:pPr>
        <w:pStyle w:val="CaptionedFigure"/>
      </w:pPr>
      <w:r>
        <w:drawing>
          <wp:inline>
            <wp:extent cx="7772400" cy="2989384"/>
            <wp:effectExtent b="0" l="0" r="0" t="0"/>
            <wp:docPr descr="Implementation Sequencing — Path to FedRAMP 20x Mandatory Compliance by January 1 2027" title="" id="61" name="Picture"/>
            <a:graphic>
              <a:graphicData uri="http://schemas.openxmlformats.org/drawingml/2006/picture">
                <pic:pic>
                  <pic:nvPicPr>
                    <pic:cNvPr descr="figs/es-fig-04-sequencing-roadmap.png" id="62" name="Picture"/>
                    <pic:cNvPicPr>
                      <a:picLocks noChangeArrowheads="1" noChangeAspect="1"/>
                    </pic:cNvPicPr>
                  </pic:nvPicPr>
                  <pic:blipFill>
                    <a:blip r:embed="rId60"/>
                    <a:stretch>
                      <a:fillRect/>
                    </a:stretch>
                  </pic:blipFill>
                  <pic:spPr bwMode="auto">
                    <a:xfrm>
                      <a:off x="0" y="0"/>
                      <a:ext cx="7772400" cy="2989384"/>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2 — Concurrent with Part 1</w:t>
            </w:r>
          </w:p>
        </w:tc>
        <w:tc>
          <w:tcPr/>
          <w:p>
            <w:pPr>
              <w:pStyle w:val="Compact"/>
              <w:jc w:val="left"/>
            </w:pPr>
            <w:r>
              <w:t xml:space="preserve">Part 2: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3: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3</w:t>
            </w:r>
          </w:p>
        </w:tc>
        <w:tc>
          <w:tcPr/>
          <w:p>
            <w:pPr>
              <w:pStyle w:val="Compact"/>
              <w:jc w:val="left"/>
            </w:pPr>
            <w:r>
              <w:t xml:space="preserve">Parts 4–5: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4–5</w:t>
            </w:r>
          </w:p>
        </w:tc>
        <w:tc>
          <w:tcPr/>
          <w:p>
            <w:pPr>
              <w:pStyle w:val="Compact"/>
              <w:jc w:val="left"/>
            </w:pPr>
            <w:r>
              <w:t xml:space="preserve">Part 6: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3" w:name="phased-delivery-roadmap"/>
    <w:p>
      <w:pPr>
        <w:pStyle w:val="Heading2"/>
      </w:pPr>
      <w:r>
        <w:rPr>
          <w:rStyle w:val="SectionNumber"/>
        </w:rPr>
        <w:t xml:space="preserve">11.1</w:t>
      </w:r>
      <w:r>
        <w:tab/>
      </w:r>
      <w:r>
        <w:t xml:space="preserve">Phased Delivery Roadmap</w:t>
      </w:r>
    </w:p>
    <w:p>
      <w:pPr>
        <w:pStyle w:val="TableCaption"/>
      </w:pPr>
      <w:r>
        <w:t xml:space="preserve">Phased Delivery Roadmap — Phase 0 through Phase 5 {.striped .hover}</w:t>
      </w:r>
    </w:p>
    <w:tbl>
      <w:tblPr>
        <w:tblStyle w:val="Table"/>
        <w:tblW w:type="pct" w:w="5000"/>
        <w:tblLook w:firstRow="1" w:lastRow="0" w:firstColumn="0" w:lastColumn="0" w:noHBand="0" w:noVBand="0" w:val="0020"/>
        <w:jc w:val="start"/>
        <w:tblCaption w:val="Phased Delivery Roadmap — Phase 0 through Phase 5 {.striped .hover}"/>
      </w:tblPr>
      <w:tblGrid>
        <w:gridCol w:w="1788"/>
        <w:gridCol w:w="2554"/>
        <w:gridCol w:w="3576"/>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Parts 1–11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Part 12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OSCAL Emitter AR output; Part 13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Part 14 PT/PII templates; Part 15 AT training program; KSI-022 → active; all 29 CR26 KSIs evaluable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BOD 26-04 VDR/VER submission (Dec 7); Authorization package filed; First complete OSCAL AP+AR+POAM bundle</w:t>
            </w:r>
          </w:p>
        </w:tc>
      </w:tr>
      <w:tr>
        <w:tc>
          <w:tcPr/>
          <w:p>
            <w:pPr>
              <w:pStyle w:val="Compact"/>
              <w:jc w:val="left"/>
            </w:pPr>
            <w:r>
              <w:rPr>
                <w:bCs/>
                <w:b/>
              </w:rPr>
              <w:t xml:space="preserve">Phase 5</w:t>
            </w:r>
          </w:p>
        </w:tc>
        <w:tc>
          <w:tcPr/>
          <w:p>
            <w:pPr>
              <w:pStyle w:val="Compact"/>
              <w:jc w:val="left"/>
            </w:pPr>
            <w:r>
              <w:t xml:space="preserve">January 2027</w:t>
            </w:r>
          </w:p>
        </w:tc>
        <w:tc>
          <w:tcPr/>
          <w:p>
            <w:pPr>
              <w:pStyle w:val="Compact"/>
              <w:jc w:val="left"/>
            </w:pPr>
            <w:r>
              <w:t xml:space="preserve">FedRAMP 20x mandatory deadline; All 15 books operational; Continuous monitoring cadence established</w:t>
            </w:r>
          </w:p>
        </w:tc>
      </w:tr>
    </w:tbl>
    <w:p>
      <w:r>
        <w:pict>
          <v:rect style="width:0;height:1.5pt" o:hralign="center" o:hrstd="t" o:hr="t"/>
        </w:pict>
      </w:r>
    </w:p>
    <w:bookmarkEnd w:id="63"/>
    <w:bookmarkStart w:id="64" w:name="technology-recommendations-by-gap"/>
    <w:p>
      <w:pPr>
        <w:pStyle w:val="Heading2"/>
      </w:pPr>
      <w:r>
        <w:rPr>
          <w:rStyle w:val="SectionNumber"/>
        </w:rPr>
        <w:t xml:space="preserve">11.2</w:t>
      </w:r>
      <w:r>
        <w:tab/>
      </w: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9)</w:t>
            </w:r>
          </w:p>
        </w:tc>
      </w:tr>
      <w:tr>
        <w:tc>
          <w:tcPr/>
          <w:p>
            <w:pPr>
              <w:pStyle w:val="Compact"/>
              <w:jc w:val="left"/>
            </w:pPr>
            <w:r>
              <w:t xml:space="preserve">PM metrics</w:t>
            </w:r>
          </w:p>
        </w:tc>
        <w:tc>
          <w:tcPr/>
          <w:p>
            <w:pPr>
              <w:pStyle w:val="Compact"/>
              <w:jc w:val="left"/>
            </w:pPr>
            <w:r>
              <w:t xml:space="preserve">Sentinel workbook for AU/CA/PM KPI dashboard (extends Part 10)</w:t>
            </w:r>
          </w:p>
        </w:tc>
      </w:tr>
    </w:tbl>
    <w:p>
      <w:r>
        <w:pict>
          <v:rect style="width:0;height:1.5pt" o:hralign="center" o:hrstd="t" o:hr="t"/>
        </w:pict>
      </w:r>
    </w:p>
    <w:bookmarkEnd w:id="64"/>
    <w:bookmarkEnd w:id="65"/>
    <w:bookmarkStart w:id="81" w:name="document-references"/>
    <w:p>
      <w:pPr>
        <w:pStyle w:val="Heading1"/>
      </w:pPr>
      <w:r>
        <w:rPr>
          <w:rStyle w:val="SectionNumber"/>
        </w:rPr>
        <w:t xml:space="preserve">12</w:t>
      </w:r>
      <w:r>
        <w:tab/>
      </w: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66">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67">
              <w:r>
                <w:rPr>
                  <w:rStyle w:val="Hyperlink"/>
                </w:rPr>
                <w:t xml:space="preserve">Book 02 — From Mainframe to Application-Aware Modernization</w:t>
              </w:r>
            </w:hyperlink>
          </w:p>
        </w:tc>
        <w:tc>
          <w:tcPr/>
          <w:p>
            <w:pPr>
              <w:pStyle w:val="Compact"/>
              <w:jc w:val="left"/>
            </w:pPr>
            <w:r>
              <w:t xml:space="preserve">Part 2: Amazon Connect N8NN, Teams Phone, SD-WAN/SASE, G.114 compliance, DIA vs. SASE distinction</w:t>
            </w:r>
          </w:p>
        </w:tc>
      </w:tr>
      <w:tr>
        <w:tc>
          <w:tcPr/>
          <w:p>
            <w:pPr>
              <w:pStyle w:val="Compact"/>
              <w:jc w:val="left"/>
            </w:pPr>
            <w:hyperlink r:id="rId68">
              <w:r>
                <w:rPr>
                  <w:rStyle w:val="Hyperlink"/>
                </w:rPr>
                <w:t xml:space="preserve">Book 03 — Federal Telecommunications Modernization</w:t>
              </w:r>
            </w:hyperlink>
          </w:p>
        </w:tc>
        <w:tc>
          <w:tcPr/>
          <w:p>
            <w:pPr>
              <w:pStyle w:val="Compact"/>
              <w:jc w:val="left"/>
            </w:pPr>
            <w:r>
              <w:t xml:space="preserve">Part 3: AD-to-Entra migration, ZTNA, Active Governance control plane, FedRAMP 20x alignment</w:t>
            </w:r>
          </w:p>
        </w:tc>
      </w:tr>
      <w:tr>
        <w:tc>
          <w:tcPr/>
          <w:p>
            <w:pPr>
              <w:pStyle w:val="Compact"/>
              <w:jc w:val="left"/>
            </w:pPr>
            <w:hyperlink r:id="rId69">
              <w:r>
                <w:rPr>
                  <w:rStyle w:val="Hyperlink"/>
                </w:rPr>
                <w:t xml:space="preserve">Book 04 — SQL Server Authentication Modernization</w:t>
              </w:r>
            </w:hyperlink>
          </w:p>
        </w:tc>
        <w:tc>
          <w:tcPr/>
          <w:p>
            <w:pPr>
              <w:pStyle w:val="Compact"/>
              <w:jc w:val="left"/>
            </w:pPr>
            <w:r>
              <w:t xml:space="preserve">Part 4: Arc Managed Identity, Kerberos/NTLM breakdown, login migration, application chain, NIST closure</w:t>
            </w:r>
          </w:p>
        </w:tc>
      </w:tr>
      <w:tr>
        <w:tc>
          <w:tcPr/>
          <w:p>
            <w:pPr>
              <w:pStyle w:val="Compact"/>
              <w:jc w:val="left"/>
            </w:pPr>
            <w:hyperlink r:id="rId70">
              <w:r>
                <w:rPr>
                  <w:rStyle w:val="Hyperlink"/>
                </w:rPr>
                <w:t xml:space="preserve">Book 05 — SQL Server Implementation Guide</w:t>
              </w:r>
            </w:hyperlink>
          </w:p>
        </w:tc>
        <w:tc>
          <w:tcPr/>
          <w:p>
            <w:pPr>
              <w:pStyle w:val="Compact"/>
              <w:jc w:val="left"/>
            </w:pPr>
            <w:r>
              <w:t xml:space="preserve">Part 5: 10-book runbook — estate discovery, Arc deployment, login migration, NTLM elimination, monitoring</w:t>
            </w:r>
          </w:p>
        </w:tc>
      </w:tr>
      <w:tr>
        <w:tc>
          <w:tcPr/>
          <w:p>
            <w:pPr>
              <w:pStyle w:val="Compact"/>
              <w:jc w:val="left"/>
            </w:pPr>
            <w:hyperlink r:id="rId71">
              <w:r>
                <w:rPr>
                  <w:rStyle w:val="Hyperlink"/>
                </w:rPr>
                <w:t xml:space="preserve">Book 06 — Database Consolidation and Network Physics</w:t>
              </w:r>
            </w:hyperlink>
          </w:p>
        </w:tc>
        <w:tc>
          <w:tcPr/>
          <w:p>
            <w:pPr>
              <w:pStyle w:val="Compact"/>
              <w:jc w:val="left"/>
            </w:pPr>
            <w:r>
              <w:t xml:space="preserve">Part 6: SSOT architecture, speed-of-light floor, SD-WAN for database traffic, consistency class alignment</w:t>
            </w:r>
          </w:p>
        </w:tc>
      </w:tr>
      <w:tr>
        <w:tc>
          <w:tcPr/>
          <w:p>
            <w:pPr>
              <w:pStyle w:val="Compact"/>
              <w:jc w:val="left"/>
            </w:pPr>
            <w:hyperlink r:id="rId72">
              <w:r>
                <w:rPr>
                  <w:rStyle w:val="Hyperlink"/>
                </w:rPr>
                <w:t xml:space="preserve">Book 07 — Privileged Access Management</w:t>
              </w:r>
            </w:hyperlink>
          </w:p>
        </w:tc>
        <w:tc>
          <w:tcPr/>
          <w:p>
            <w:pPr>
              <w:pStyle w:val="Compact"/>
              <w:jc w:val="left"/>
            </w:pPr>
            <w:r>
              <w:t xml:space="preserve">Part 7: Entra PIM JIT activation, PAW architecture, AC-5/AC-6 least privilege, IA-11 re-authentication</w:t>
            </w:r>
          </w:p>
        </w:tc>
      </w:tr>
      <w:tr>
        <w:tc>
          <w:tcPr/>
          <w:p>
            <w:pPr>
              <w:pStyle w:val="Compact"/>
              <w:jc w:val="left"/>
            </w:pPr>
            <w:hyperlink r:id="rId73">
              <w:r>
                <w:rPr>
                  <w:rStyle w:val="Hyperlink"/>
                </w:rPr>
                <w:t xml:space="preserve">Book 08 — Vulnerability Management</w:t>
              </w:r>
            </w:hyperlink>
          </w:p>
        </w:tc>
        <w:tc>
          <w:tcPr/>
          <w:p>
            <w:pPr>
              <w:pStyle w:val="Compact"/>
              <w:jc w:val="left"/>
            </w:pPr>
            <w:r>
              <w:t xml:space="preserve">Part 8: Defender VM, CISA KEV integration, RA-5 continuous scanning, SI-2 flaw remediation</w:t>
            </w:r>
          </w:p>
        </w:tc>
      </w:tr>
      <w:tr>
        <w:tc>
          <w:tcPr/>
          <w:p>
            <w:pPr>
              <w:pStyle w:val="Compact"/>
              <w:jc w:val="left"/>
            </w:pPr>
            <w:hyperlink r:id="rId74">
              <w:r>
                <w:rPr>
                  <w:rStyle w:val="Hyperlink"/>
                </w:rPr>
                <w:t xml:space="preserve">Book 09 — Data Protection (Purview + Key Vault CMK)</w:t>
              </w:r>
            </w:hyperlink>
          </w:p>
        </w:tc>
        <w:tc>
          <w:tcPr/>
          <w:p>
            <w:pPr>
              <w:pStyle w:val="Compact"/>
              <w:jc w:val="left"/>
            </w:pPr>
            <w:r>
              <w:t xml:space="preserve">Part 9: Purview DLP and sensitivity labels, Key Vault CMK, MP-2–5, SC-12/13/17/28, AU-10</w:t>
            </w:r>
          </w:p>
        </w:tc>
      </w:tr>
      <w:tr>
        <w:tc>
          <w:tcPr/>
          <w:p>
            <w:pPr>
              <w:pStyle w:val="Compact"/>
              <w:jc w:val="left"/>
            </w:pPr>
            <w:hyperlink r:id="rId75">
              <w:r>
                <w:rPr>
                  <w:rStyle w:val="Hyperlink"/>
                </w:rPr>
                <w:t xml:space="preserve">Book 10 — SIEM / XDR / Detection Engineering</w:t>
              </w:r>
            </w:hyperlink>
          </w:p>
        </w:tc>
        <w:tc>
          <w:tcPr/>
          <w:p>
            <w:pPr>
              <w:pStyle w:val="Compact"/>
              <w:jc w:val="left"/>
            </w:pPr>
            <w:r>
              <w:t xml:space="preserve">Part 10: Microsoft Sentinel, Defender XDR, KQL analytics, SOAR playbooks, SI-4/AU-6/IR-4/6/8</w:t>
            </w:r>
          </w:p>
        </w:tc>
      </w:tr>
      <w:tr>
        <w:tc>
          <w:tcPr/>
          <w:p>
            <w:pPr>
              <w:pStyle w:val="Compact"/>
              <w:jc w:val="left"/>
            </w:pPr>
            <w:hyperlink r:id="rId76">
              <w:r>
                <w:rPr>
                  <w:rStyle w:val="Hyperlink"/>
                </w:rPr>
                <w:t xml:space="preserve">Book 11 — Business Continuity</w:t>
              </w:r>
            </w:hyperlink>
          </w:p>
        </w:tc>
        <w:tc>
          <w:tcPr/>
          <w:p>
            <w:pPr>
              <w:pStyle w:val="Compact"/>
              <w:jc w:val="left"/>
            </w:pPr>
            <w:r>
              <w:t xml:space="preserve">Part 11: CP-2 through CP-8 contingency planning, DR runbooks, Azure Site Recovery</w:t>
            </w:r>
          </w:p>
        </w:tc>
      </w:tr>
      <w:tr>
        <w:tc>
          <w:tcPr/>
          <w:p>
            <w:pPr>
              <w:pStyle w:val="Compact"/>
              <w:jc w:val="left"/>
            </w:pPr>
            <w:hyperlink r:id="rId77">
              <w:r>
                <w:rPr>
                  <w:rStyle w:val="Hyperlink"/>
                </w:rPr>
                <w:t xml:space="preserve">Book 12 — Supply Chain Risk Management</w:t>
              </w:r>
            </w:hyperlink>
          </w:p>
        </w:tc>
        <w:tc>
          <w:tcPr/>
          <w:p>
            <w:pPr>
              <w:pStyle w:val="Compact"/>
              <w:jc w:val="left"/>
            </w:pPr>
            <w:r>
              <w:t xml:space="preserve">Part 12: Syft CycloneDX SBOM pipeline, Grype VDR/VEX, GitHub Actions BOD 26-04 gate, SR-family closure</w:t>
            </w:r>
          </w:p>
        </w:tc>
      </w:tr>
      <w:tr>
        <w:tc>
          <w:tcPr/>
          <w:p>
            <w:pPr>
              <w:pStyle w:val="Compact"/>
              <w:jc w:val="left"/>
            </w:pPr>
            <w:hyperlink r:id="rId78">
              <w:r>
                <w:rPr>
                  <w:rStyle w:val="Hyperlink"/>
                </w:rPr>
                <w:t xml:space="preserve">Book 13 — Program Management and Governance</w:t>
              </w:r>
            </w:hyperlink>
          </w:p>
        </w:tc>
        <w:tc>
          <w:tcPr/>
          <w:p>
            <w:pPr>
              <w:pStyle w:val="Compact"/>
              <w:jc w:val="left"/>
            </w:pPr>
            <w:r>
              <w:t xml:space="preserve">Part 13: ISPP template, POA&amp;M tracker, SCRM Charter, Leadership RACI matrix, PM-family closure</w:t>
            </w:r>
          </w:p>
        </w:tc>
      </w:tr>
      <w:tr>
        <w:tc>
          <w:tcPr/>
          <w:p>
            <w:pPr>
              <w:pStyle w:val="Compact"/>
              <w:jc w:val="left"/>
            </w:pPr>
            <w:hyperlink r:id="rId79">
              <w:r>
                <w:rPr>
                  <w:rStyle w:val="Hyperlink"/>
                </w:rPr>
                <w:t xml:space="preserve">Book 14 — PII Processing and Transparency</w:t>
              </w:r>
            </w:hyperlink>
          </w:p>
        </w:tc>
        <w:tc>
          <w:tcPr/>
          <w:p>
            <w:pPr>
              <w:pStyle w:val="Compact"/>
              <w:jc w:val="left"/>
            </w:pPr>
            <w:r>
              <w:t xml:space="preserve">Part 14: Privacy Program Plan, authority-to-process templates, SORN/PIA scaffolding, Purview Data Map, PT-family closure</w:t>
            </w:r>
          </w:p>
        </w:tc>
      </w:tr>
      <w:tr>
        <w:tc>
          <w:tcPr/>
          <w:p>
            <w:pPr>
              <w:pStyle w:val="Compact"/>
              <w:jc w:val="left"/>
            </w:pPr>
            <w:hyperlink r:id="rId80">
              <w:r>
                <w:rPr>
                  <w:rStyle w:val="Hyperlink"/>
                </w:rPr>
                <w:t xml:space="preserve">Book 15 — Cybersecurity Awareness and Training</w:t>
              </w:r>
            </w:hyperlink>
          </w:p>
        </w:tc>
        <w:tc>
          <w:tcPr/>
          <w:p>
            <w:pPr>
              <w:pStyle w:val="Compact"/>
              <w:jc w:val="left"/>
            </w:pPr>
            <w:r>
              <w:t xml:space="preserve">Part 15: AT-2/AT-3/AT-4 training program, role-based matrices for six tiers, LMS evidence schema, CP-3 tabletop calendar, IR-2 drill documentation, KSI-022 activation</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81"/>
    <w:sectPr>
      <w:pgMar w:top="720" w:right="720" w:bottom="72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66" Target="Book_01_Federal_Application_Aware_Networking_SSA_Landing_Zone_IPAM_FedRAMP.qmd" TargetMode="External" /><Relationship Type="http://schemas.openxmlformats.org/officeDocument/2006/relationships/hyperlink" Id="rId67" Target="Book_02_Federal_Application_Aware_Networking_Network_Modernization.qmd" TargetMode="External" /><Relationship Type="http://schemas.openxmlformats.org/officeDocument/2006/relationships/hyperlink" Id="rId68" Target="Book_03_Federal_Application_Aware_Networking_Federal_Telecommunications_Modernization.qmd" TargetMode="External" /><Relationship Type="http://schemas.openxmlformats.org/officeDocument/2006/relationships/hyperlink" Id="rId69" Target="Book_04_Federal_Application_Aware_Networking_SQL_Server_Authentication_Modernization.qmd" TargetMode="External" /><Relationship Type="http://schemas.openxmlformats.org/officeDocument/2006/relationships/hyperlink" Id="rId70" Target="Book_05_Federal_Application_Aware_Networking_SQL_Server_Implementation_Guide.qmd" TargetMode="External" /><Relationship Type="http://schemas.openxmlformats.org/officeDocument/2006/relationships/hyperlink" Id="rId71" Target="Book_06_Federal_Application_Aware_Networking_Database_Consolidation_Network_Physics.qmd" TargetMode="External" /><Relationship Type="http://schemas.openxmlformats.org/officeDocument/2006/relationships/hyperlink" Id="rId72" Target="Book_07_Federal_Application_Aware_Networking_Privileged_Access_Management.qmd" TargetMode="External" /><Relationship Type="http://schemas.openxmlformats.org/officeDocument/2006/relationships/hyperlink" Id="rId73" Target="Book_08_Federal_Application_Aware_Networking_Vulnerability_Management.qmd" TargetMode="External" /><Relationship Type="http://schemas.openxmlformats.org/officeDocument/2006/relationships/hyperlink" Id="rId74" Target="Book_09_Federal_Application_Aware_Networking_Data_Protection_Purview.qmd" TargetMode="External" /><Relationship Type="http://schemas.openxmlformats.org/officeDocument/2006/relationships/hyperlink" Id="rId75" Target="Book_10_Federal_Application_Aware_Networking_SIEM_XDR_Detection.qmd" TargetMode="External" /><Relationship Type="http://schemas.openxmlformats.org/officeDocument/2006/relationships/hyperlink" Id="rId76" Target="Book_11_Federal_Application_Aware_Networking_Business_Continuity.qmd" TargetMode="External" /><Relationship Type="http://schemas.openxmlformats.org/officeDocument/2006/relationships/hyperlink" Id="rId77" Target="Book_12_Federal_Application_Aware_Networking_Supply_Chain_Risk_Management.qmd" TargetMode="External" /><Relationship Type="http://schemas.openxmlformats.org/officeDocument/2006/relationships/hyperlink" Id="rId78" Target="Book_13_Federal_Application_Aware_Networking_Program_Management_Governance.qmd" TargetMode="External" /><Relationship Type="http://schemas.openxmlformats.org/officeDocument/2006/relationships/hyperlink" Id="rId79" Target="Book_14_Federal_Application_Aware_Networking_PII_Processing_Transparency.qmd" TargetMode="External" /><Relationship Type="http://schemas.openxmlformats.org/officeDocument/2006/relationships/hyperlink" Id="rId80" Target="Book_15_Federal_Application_Aware_Networking_Cybersecurity_Training_Awareness.qmd" TargetMode="External" /></Relationships>
</file>

<file path=word/_rels/footnotes.xml.rels><?xml version="1.0" encoding="UTF-8"?><Relationships xmlns="http://schemas.openxmlformats.org/package/2006/relationships"><Relationship Type="http://schemas.openxmlformats.org/officeDocument/2006/relationships/hyperlink" Id="rId66" Target="Book_01_Federal_Application_Aware_Networking_SSA_Landing_Zone_IPAM_FedRAMP.qmd" TargetMode="External" /><Relationship Type="http://schemas.openxmlformats.org/officeDocument/2006/relationships/hyperlink" Id="rId67" Target="Book_02_Federal_Application_Aware_Networking_Network_Modernization.qmd" TargetMode="External" /><Relationship Type="http://schemas.openxmlformats.org/officeDocument/2006/relationships/hyperlink" Id="rId68" Target="Book_03_Federal_Application_Aware_Networking_Federal_Telecommunications_Modernization.qmd" TargetMode="External" /><Relationship Type="http://schemas.openxmlformats.org/officeDocument/2006/relationships/hyperlink" Id="rId69" Target="Book_04_Federal_Application_Aware_Networking_SQL_Server_Authentication_Modernization.qmd" TargetMode="External" /><Relationship Type="http://schemas.openxmlformats.org/officeDocument/2006/relationships/hyperlink" Id="rId70" Target="Book_05_Federal_Application_Aware_Networking_SQL_Server_Implementation_Guide.qmd" TargetMode="External" /><Relationship Type="http://schemas.openxmlformats.org/officeDocument/2006/relationships/hyperlink" Id="rId71" Target="Book_06_Federal_Application_Aware_Networking_Database_Consolidation_Network_Physics.qmd" TargetMode="External" /><Relationship Type="http://schemas.openxmlformats.org/officeDocument/2006/relationships/hyperlink" Id="rId72" Target="Book_07_Federal_Application_Aware_Networking_Privileged_Access_Management.qmd" TargetMode="External" /><Relationship Type="http://schemas.openxmlformats.org/officeDocument/2006/relationships/hyperlink" Id="rId73" Target="Book_08_Federal_Application_Aware_Networking_Vulnerability_Management.qmd" TargetMode="External" /><Relationship Type="http://schemas.openxmlformats.org/officeDocument/2006/relationships/hyperlink" Id="rId74" Target="Book_09_Federal_Application_Aware_Networking_Data_Protection_Purview.qmd" TargetMode="External" /><Relationship Type="http://schemas.openxmlformats.org/officeDocument/2006/relationships/hyperlink" Id="rId75" Target="Book_10_Federal_Application_Aware_Networking_SIEM_XDR_Detection.qmd" TargetMode="External" /><Relationship Type="http://schemas.openxmlformats.org/officeDocument/2006/relationships/hyperlink" Id="rId76" Target="Book_11_Federal_Application_Aware_Networking_Business_Continuity.qmd" TargetMode="External" /><Relationship Type="http://schemas.openxmlformats.org/officeDocument/2006/relationships/hyperlink" Id="rId77" Target="Book_12_Federal_Application_Aware_Networking_Supply_Chain_Risk_Management.qmd" TargetMode="External" /><Relationship Type="http://schemas.openxmlformats.org/officeDocument/2006/relationships/hyperlink" Id="rId78" Target="Book_13_Federal_Application_Aware_Networking_Program_Management_Governance.qmd" TargetMode="External" /><Relationship Type="http://schemas.openxmlformats.org/officeDocument/2006/relationships/hyperlink" Id="rId79" Target="Book_14_Federal_Application_Aware_Networking_PII_Processing_Transparency.qmd" TargetMode="External" /><Relationship Type="http://schemas.openxmlformats.org/officeDocument/2006/relationships/hyperlink" Id="rId80" Target="Book_15_Federal_Application_Aware_Networking_Cybersecurity_Training_Awaren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2026-07-04T19:12:58Z</dcterms:created>
  <dcterms:modified xsi:type="dcterms:W3CDTF">2026-07-04T19:12:58Z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Six Implementation Tracks</vt:lpwstr>
  </property>
</Properties>
</file>