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B3A5C"/>
        </w:rPr>
        <w:t>UIAO Management Stack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Version 1.0</w:t>
      </w:r>
    </w:p>
    <w:p>
      <w:pPr>
        <w:pStyle w:val="Heading2"/>
      </w:pPr>
      <w:r>
        <w:rPr>
          <w:color w:val="1B3A5C"/>
        </w:rPr>
        <w:t>4. Vendor Logic Processing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The following diagram illustrates how the UIAO data layer processes management stack configurations through the Jinja2 rendering pipeline to produce vendor-specific outputs.</w:t>
      </w:r>
    </w:p>
    <w:p>
      <w:pPr>
        <w:spacing w:after="80"/>
      </w:pPr>
    </w:p>
    <w:p>
      <w:pPr>
        <w:spacing w:before="120" w:after="120" w:line="276" w:lineRule="auto"/>
      </w:pPr>
      <w:r>
        <w:rPr>
          <w:rFonts w:ascii="Calibri" w:hAnsi="Calibri"/>
          <w:b w:val="0"/>
          <w:i/>
          <w:sz w:val="22"/>
        </w:rPr>
        <w:t>Generated from UIAO data layer — Management Stack v1.0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4"/>
      </w:rPr>
      <w:t>CUI | UIAO Program | Generated 2026-04-13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b/>
        <w:color w:val="800000"/>
        <w:sz w:val="16"/>
      </w:rPr>
      <w:t>CUI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24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B3A5C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/>
      <w:outlineLvl w:val="1"/>
    </w:pPr>
    <w:rPr>
      <w:rFonts w:asciiTheme="majorHAnsi" w:eastAsiaTheme="majorEastAsia" w:hAnsiTheme="majorHAnsi" w:cstheme="majorBidi" w:ascii="Calibri" w:hAnsi="Calibri"/>
      <w:b/>
      <w:bCs/>
      <w:color w:val="1B3A5C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