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3A5C"/>
        </w:rPr>
        <w:t>System Inventory and Components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Classification:</w:t>
      </w:r>
      <w:r>
        <w:rPr>
          <w:rFonts w:ascii="Calibri" w:hAnsi="Calibri"/>
          <w:sz w:val="22"/>
        </w:rPr>
        <w:t xml:space="preserve"> Public </w:t>
      </w:r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sz w:val="22"/>
        </w:rPr>
        <w:t xml:space="preserve"> 1.0 </w:t>
      </w:r>
      <w:r>
        <w:rPr>
          <w:rFonts w:ascii="Calibri" w:hAnsi="Calibri"/>
          <w:b/>
          <w:i w:val="0"/>
          <w:sz w:val="22"/>
        </w:rPr>
        <w:t>Generated:</w:t>
      </w:r>
      <w:r>
        <w:rPr>
          <w:rFonts w:ascii="Calibri" w:hAnsi="Calibri"/>
          <w:sz w:val="22"/>
        </w:rPr>
        <w:t xml:space="preserve"> Auto-generated</w:t>
      </w:r>
    </w:p>
    <w:p>
      <w:pPr>
        <w:pStyle w:val="Heading2"/>
      </w:pPr>
      <w:r>
        <w:rPr>
          <w:color w:val="1B3A5C"/>
        </w:rPr>
        <w:t>2. Hardware Inventory</w:t>
      </w:r>
    </w:p>
    <w:p>
      <w:pPr>
        <w:pStyle w:val="Heading3"/>
      </w:pPr>
      <w:r>
        <w:rPr>
          <w:color w:val="1B3A5C"/>
        </w:rPr>
        <w:t>2.1 On-Premises Hardware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Asset ID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Device Type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Manufacturer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UIAO Role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SDWAN-001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SD-WAN Edge Router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HQ Data Center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Overlay Fabric — Primary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SDWAN-002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SD-WAN Edge Router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DR Data Center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Overlay Fabric — Secondary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SDWAN-BRN-*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SD-WAN Branch Nodes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Cisco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Branch Offices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Branch Connectivity (×12)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FW-001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Next-Gen Firewall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Palo Alto / Cisco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HQ Perimeter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Perimeter Security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DNS-001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IPAM / DNS Appliance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InfoBlox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HQ Data Center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Authoritative DNS / DHCP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SRV-MGMT-*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Management Servers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Dell / HPE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HQ Data Center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Orchestration / Policy (×4)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Active</w:t>
            </w:r>
          </w:p>
        </w:tc>
      </w:tr>
    </w:tbl>
    <w:p>
      <w:pPr>
        <w:pStyle w:val="Heading3"/>
      </w:pPr>
      <w:r>
        <w:rPr>
          <w:color w:val="1B3A5C"/>
        </w:rPr>
        <w:t>2.2 Hardware Lifecycle Status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All hardware components are subject to the UIAO Hardware Lifecycle Policy: - </w:t>
      </w:r>
      <w:r>
        <w:rPr>
          <w:rFonts w:ascii="Calibri" w:hAnsi="Calibri"/>
          <w:b/>
          <w:i w:val="0"/>
          <w:sz w:val="22"/>
        </w:rPr>
        <w:t>Active:</w:t>
      </w:r>
      <w:r>
        <w:rPr>
          <w:rFonts w:ascii="Calibri" w:hAnsi="Calibri"/>
          <w:sz w:val="22"/>
        </w:rPr>
        <w:t xml:space="preserve"> In production and within vendor support lifecycle - </w:t>
      </w:r>
      <w:r>
        <w:rPr>
          <w:rFonts w:ascii="Calibri" w:hAnsi="Calibri"/>
          <w:b/>
          <w:i w:val="0"/>
          <w:sz w:val="22"/>
        </w:rPr>
        <w:t>EOS (End of Support):</w:t>
      </w:r>
      <w:r>
        <w:rPr>
          <w:rFonts w:ascii="Calibri" w:hAnsi="Calibri"/>
          <w:sz w:val="22"/>
        </w:rPr>
        <w:t xml:space="preserve"> Vendor support expired; remediation required within 90 days - </w:t>
      </w:r>
      <w:r>
        <w:rPr>
          <w:rFonts w:ascii="Calibri" w:hAnsi="Calibri"/>
          <w:b/>
          <w:i w:val="0"/>
          <w:sz w:val="22"/>
        </w:rPr>
        <w:t>EOL (End of Life):</w:t>
      </w:r>
      <w:r>
        <w:rPr>
          <w:rFonts w:ascii="Calibri" w:hAnsi="Calibri"/>
          <w:sz w:val="22"/>
        </w:rPr>
        <w:t xml:space="preserve"> Hardware decommissioned or scheduled for replacement</w:t>
      </w:r>
    </w:p>
    <w:p>
      <w:pPr>
        <w:pStyle w:val="Heading2"/>
      </w:pPr>
      <w:r>
        <w:rPr>
          <w:color w:val="1B3A5C"/>
        </w:rPr>
        <w:t>4. Network Components</w:t>
      </w:r>
    </w:p>
    <w:p>
      <w:pPr>
        <w:pStyle w:val="Heading3"/>
      </w:pPr>
      <w:r>
        <w:rPr>
          <w:color w:val="1B3A5C"/>
        </w:rPr>
        <w:t>4.1 Network Component Inventory</w:t>
      </w:r>
    </w:p>
    <w:p>
      <w:pPr>
        <w:pStyle w:val="Heading3"/>
      </w:pPr>
      <w:r>
        <w:rPr>
          <w:color w:val="1B3A5C"/>
        </w:rPr>
        <w:t>4.2 Network Segment Definitions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Segment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VLAN / VPN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Subnet Range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Access Policy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Identity Zone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VPN-100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10.100.0.0/24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IdP and PAM services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Privileged access only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Application Zone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VPN-200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10.200.0.0/22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Agency workloads and APIs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Identity-verified access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Data Zone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VPN-300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10.300.0.0/24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Databases and file stores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Application-tier only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Telemetry Zone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VPN-400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10.400.0.0/24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SIEM and log aggregation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Log-writer service accounts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Management Zone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VPN-500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10.500.0.0/24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Orchestration and policy engines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Break-glass + PAM session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DMZ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VPN-010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10.10.0.0/28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Internet-facing gateways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Public-facing; WAF enforced</w:t>
            </w:r>
          </w:p>
        </w:tc>
      </w:tr>
    </w:tbl>
    <w:p>
      <w:pPr>
        <w:pStyle w:val="Heading2"/>
      </w:pPr>
      <w:r>
        <w:rPr>
          <w:color w:val="1B3A5C"/>
        </w:rPr>
        <w:t>6. Interconnections</w:t>
      </w:r>
    </w:p>
    <w:p>
      <w:pPr>
        <w:pStyle w:val="Heading3"/>
      </w:pPr>
      <w:r>
        <w:rPr>
          <w:color w:val="1B3A5C"/>
        </w:rPr>
        <w:t>6.1 System Interconnections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All system interconnections are documented via an Interconnection Security Agreement (ISA) and a Memorandum of Understanding (MOU) as required by NIST 800-47.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System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Connection Type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Data Exchanged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Agreement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Agency HRIS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Human Resources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REST API (HTTPS)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Employee identity events (JML)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ISA-001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Agency PKI / CA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LDAP (636/TLS)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Certificate validation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ISA-002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CDM/CLAW (DHS)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DHS / CISA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HTTPS API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Asset telemetry, vulnerability data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ISA-003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US-CERT Portal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CISA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Incident reports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ISA-004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ServiceNow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ITSM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REST API (HTTPS)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Ticketing, POAM workflow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ISA-005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Agency Data Warehouse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SFTP / TLS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Compliance metrics exports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ISA-006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Review Pending</w:t>
            </w:r>
          </w:p>
        </w:tc>
      </w:tr>
    </w:tbl>
    <w:p>
      <w:pPr>
        <w:pStyle w:val="Heading2"/>
      </w:pPr>
      <w:r>
        <w:rPr>
          <w:color w:val="1B3A5C"/>
        </w:rPr>
        <w:t>8. Inventory Maintenance Procedures</w:t>
      </w:r>
    </w:p>
    <w:p>
      <w:pPr>
        <w:pStyle w:val="Heading3"/>
      </w:pPr>
      <w:r>
        <w:rPr>
          <w:color w:val="1B3A5C"/>
        </w:rPr>
        <w:t>8.1 Update Frequency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Inventory Type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Update Frequency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Software Inventory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On every release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CI/CD pipeline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DevSecOps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Network Components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Change control review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Network Team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Cloud Services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On provisioning/decommission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Terraform state change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Cloud Team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Interconnections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On new ISA approval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ISA workflow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ISSO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Semi-annually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Physical audit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Operations</w:t>
            </w:r>
          </w:p>
        </w:tc>
      </w:tr>
    </w:tbl>
    <w:p>
      <w:pPr>
        <w:pStyle w:val="Heading3"/>
      </w:pPr>
      <w:r>
        <w:rPr>
          <w:color w:val="1B3A5C"/>
        </w:rPr>
        <w:t>8.2 CM-8 Control Implementation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This document satisfies the following NIST 800-53 Rev 5 CM-8 sub-controls: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Sub-Control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CM-8(a)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Develop inventory of system components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This document, auto-generated from YAML source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CM-8(b)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Review and update inventory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CI/CD pipeline updates on every merge to `main`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CM-8(1)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Updates during installations/removals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Terraform state changes trigger inventory refresh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CM-8(2)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Automated maintenance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`scripts/generate_docs.py` maintains inventory currency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CM-8(3)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Automated unauthorized component detection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CDM/CLAW + Sentinel analytics alert on unregistered assets</w:t>
            </w:r>
          </w:p>
        </w:tc>
      </w:tr>
    </w:tbl>
    <w:p>
      <w:pPr>
        <w:spacing w:before="120" w:after="120" w:line="276" w:lineRule="auto"/>
      </w:pPr>
      <w:r>
        <w:rPr>
          <w:rFonts w:ascii="Calibri" w:hAnsi="Calibri"/>
          <w:b w:val="0"/>
          <w:i/>
          <w:sz w:val="22"/>
        </w:rPr>
        <w:t>Generated by the UIAO-Core Pipeline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