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4.1.1. identity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user and device identity, authentication, and access control across the UIAO architecture.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Primary Identity Provider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ICAM Governance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Identity governance and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Zero Trust 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Continuous access evaluation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4.1.2. addressing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IP address space, DNS resolution, and asset tracking across the enterprise network.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Source of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DNS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DNS zones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DHCP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Scope governance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Cloud IPAM Reconciliation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Multi-cloud addressing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4.1.3. overlay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Provides secure overlay networking, zero-trust network access, and microsegmentation capabilities.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ZTNA Gateway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SD-WAN Controller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Microsegmentation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4.1.4. telemetry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Collects, aggregates, and analyzes security telemetry from all planes to enable continuous monitoring and threat detection.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Splunk / Sentinel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Aggregation, correlation,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Azure Monitor / CloudWatch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Cloud-native telemetry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ThousandEyes / Riverbed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Network path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DNS/DHCP/IPAM evidence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4.1.5. management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Orchestrates policy enforcement, automation, and continuous compliance monitoring across all UIAO planes.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ConMon Dashboard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Automation Orchestrator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4.1.6. network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physical and virtual network connectivity, routing, and traffic engineering.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vManage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Centralized policy engine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vSmart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Control-plane orchestrator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vBond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Secure orchestration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WAN Edge Devices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Enforcement points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4.1.7. endpoint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Control plane component.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detection and response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Intune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Configuration and compliance management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Entra ID Device Objects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Device identity anchoring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