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Program</w:t>
      </w:r>
      <w:r>
        <w:t xml:space="preserve"> </w:t>
      </w:r>
      <w:r>
        <w:t xml:space="preserve">Vision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uiao-program-vision"/>
    <w:p>
      <w:pPr>
        <w:pStyle w:val="Heading1"/>
      </w:pPr>
      <w:r>
        <w:t xml:space="preserve">UIAO Program Vision</w:t>
      </w:r>
    </w:p>
    <w:p>
      <w:pPr>
        <w:pStyle w:val="FirstParagraph"/>
      </w:pPr>
      <w:r>
        <w:rPr>
          <w:bCs/>
          <w:b/>
        </w:rPr>
        <w:t xml:space="preserve">Version 1.0</w:t>
      </w:r>
    </w:p>
    <w:p>
      <w:r>
        <w:pict>
          <v:rect style="width:0;height:1.5pt" o:hralign="center" o:hrstd="t" o:hr="t"/>
        </w:pict>
      </w:r>
    </w:p>
    <w:bookmarkEnd w:id="20"/>
    <w:bookmarkStart w:id="21" w:name="vision-statement"/>
    <w:p>
      <w:pPr>
        <w:pStyle w:val="Heading1"/>
      </w:pPr>
      <w:r>
        <w:t xml:space="preserve">Vision Statement</w:t>
      </w:r>
    </w:p>
    <w:p>
      <w:pPr>
        <w:pStyle w:val="FirstParagraph"/>
      </w:pPr>
      <w:r>
        <w:t xml:space="preserve">UIAO envisions a fully modernized federal network where identity, addressing, routing, and telemetry operate as a unified system. In this end state, identity becomes the root namespace for all resources, addressing becomes deterministic and policy-driven, routing becomes cloud-first and performance-optimized, and telemetry becomes a real-time control input rather than a passive reporting mechanism.</w:t>
      </w:r>
      <w:r>
        <w:t xml:space="preserve"> </w:t>
      </w:r>
      <w:r>
        <w:t xml:space="preserve">The architecture is guided by several principles. Zero Trust is the default operating model, with identity as the perimeter and continuous verification as the norm. Telemetry is treated as the authoritative truth source for routing, security, and compliance decisions. Modernization proceeds incrementally, avoiding big-bang cutovers and minimizing operational disruption. All design choices are aligned with FedRAMP, TIC 3.0, and NIST 800-63 requirements. Above all, the architecture prioritizes citizen experience: if a change degrades public service, it does not ship.</w:t>
      </w:r>
    </w:p>
    <w:p>
      <w:r>
        <w:pict>
          <v:rect style="width:0;height:1.5pt" o:hralign="center" o:hrstd="t" o:hr="t"/>
        </w:pict>
      </w:r>
    </w:p>
    <w:bookmarkEnd w:id="21"/>
    <w:bookmarkStart w:id="27" w:name="the-five-control-planes-vision-view"/>
    <w:p>
      <w:pPr>
        <w:pStyle w:val="Heading1"/>
      </w:pPr>
      <w:r>
        <w:t xml:space="preserve">The Five Control Planes (Vision View)</w:t>
      </w:r>
    </w:p>
    <w:bookmarkStart w:id="22" w:name="identity-control-plane"/>
    <w:p>
      <w:pPr>
        <w:pStyle w:val="Heading3"/>
      </w:pPr>
      <w:r>
        <w:t xml:space="preserve">1. Identity Control Plane</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bookmarkEnd w:id="22"/>
    <w:bookmarkStart w:id="23" w:name="network-control-plane"/>
    <w:p>
      <w:pPr>
        <w:pStyle w:val="Heading3"/>
      </w:pPr>
      <w:r>
        <w:t xml:space="preserve">2. Network Control Plane</w:t>
      </w:r>
    </w:p>
    <w:p>
      <w:pPr>
        <w:pStyle w:val="FirstParagraph"/>
      </w:pPr>
      <w:r>
        <w:t xml:space="preserve">The Network Control Plane uses Cisco SD-WAN to deliver cloud-first routing, performance-optimized paths for M365, and identity-aware segmentation. Integration with INR enables location-aware routing and emergency services readiness.</w:t>
      </w:r>
    </w:p>
    <w:bookmarkEnd w:id="23"/>
    <w:bookmarkStart w:id="24" w:name="addressing-control-plane"/>
    <w:p>
      <w:pPr>
        <w:pStyle w:val="Heading3"/>
      </w:pPr>
      <w:r>
        <w:t xml:space="preserve">3. Addressing Control Plane</w:t>
      </w:r>
    </w:p>
    <w:p>
      <w:pPr>
        <w:pStyle w:val="FirstParagraph"/>
      </w:pPr>
      <w:r>
        <w:t xml:space="preserve">The Addressing Control Plane modernizes IPAM through InfoBlox, replacing spreadsheets with authoritative, identity-derived addressing. DNS and DHCP are unified across cloud and on-prem environments, enabling consistent policy enforcement and accurate telemetry correlation.</w:t>
      </w:r>
    </w:p>
    <w:bookmarkEnd w:id="24"/>
    <w:bookmarkStart w:id="25" w:name="telemetry-location-control-plane"/>
    <w:p>
      <w:pPr>
        <w:pStyle w:val="Heading3"/>
      </w:pPr>
      <w:r>
        <w:t xml:space="preserve">4. Telemetry &amp; Location Control Plane</w:t>
      </w:r>
    </w:p>
    <w:p>
      <w:pPr>
        <w:pStyle w:val="FirstParagraph"/>
      </w:pPr>
      <w:r>
        <w:t xml:space="preserve">The Telemetry and Location Control Plane consolidates signals from M365, SD-WAN, endpoints, DNS, CDM/CLAW, and SIEM platforms. Telemetry becomes a real-time control input for routing, security, and compliance, enabling conversation-level visibility across the enterprise.</w:t>
      </w:r>
    </w:p>
    <w:bookmarkEnd w:id="25"/>
    <w:bookmarkStart w:id="26" w:name="security-compliance-plane"/>
    <w:p>
      <w:pPr>
        <w:pStyle w:val="Heading3"/>
      </w:pPr>
      <w:r>
        <w:t xml:space="preserve">5. Security &amp; Compliance Plane</w:t>
      </w:r>
    </w:p>
    <w:p>
      <w:pPr>
        <w:pStyle w:val="FirstParagraph"/>
      </w:pPr>
      <w:r>
        <w:t xml:space="preserve">The Security and Compliance Plane aligns the architecture with TIC 3.0, Zero Trust, FedRAMP 20x Phase 2, NIST 800-63, and ICAM governance. Security becomes embedded in the architecture rather than bolted on, with automated enforcement replacing manual review.</w:t>
      </w:r>
    </w:p>
    <w:p>
      <w:r>
        <w:pict>
          <v:rect style="width:0;height:1.5pt" o:hralign="center" o:hrstd="t" o:hr="t"/>
        </w:pict>
      </w:r>
    </w:p>
    <w:bookmarkEnd w:id="26"/>
    <w:bookmarkEnd w:id="27"/>
    <w:bookmarkStart w:id="35" w:name="the-seven-core-concepts-vision-view"/>
    <w:p>
      <w:pPr>
        <w:pStyle w:val="Heading1"/>
      </w:pPr>
      <w:r>
        <w:t xml:space="preserve">The Seven Core Concepts (Vision View)</w:t>
      </w:r>
    </w:p>
    <w:bookmarkStart w:id="28" w:name="conversation-as-the-atomic-unit"/>
    <w:p>
      <w:pPr>
        <w:pStyle w:val="Heading3"/>
      </w:pPr>
      <w:r>
        <w:t xml:space="preserve">1. Conversation as the Atomic Unit</w:t>
      </w:r>
    </w:p>
    <w:p>
      <w:pPr>
        <w:pStyle w:val="FirstParagraph"/>
      </w:pPr>
      <w:r>
        <w:t xml:space="preserve">Every interaction—identity, certificate, addressing, path, QoS, and telemetry—is treated as a single, correlated conversation rather than isolated events.</w:t>
      </w:r>
    </w:p>
    <w:bookmarkEnd w:id="28"/>
    <w:bookmarkStart w:id="29" w:name="identity-as-the-root-namespace"/>
    <w:p>
      <w:pPr>
        <w:pStyle w:val="Heading3"/>
      </w:pPr>
      <w:r>
        <w:t xml:space="preserve">2. Identity as the Root Namespace</w:t>
      </w:r>
    </w:p>
    <w:p>
      <w:pPr>
        <w:pStyle w:val="FirstParagraph"/>
      </w:pPr>
      <w:r>
        <w:t xml:space="preserve">Identity becomes the root namespace for all resources, ensuring that every IP address, certificate, subnet, policy, and telemetry event is derived from or bound to identity.</w:t>
      </w:r>
    </w:p>
    <w:bookmarkEnd w:id="29"/>
    <w:bookmarkStart w:id="30" w:name="deterministic-addressing"/>
    <w:p>
      <w:pPr>
        <w:pStyle w:val="Heading3"/>
      </w:pPr>
      <w:r>
        <w:t xml:space="preserve">3. Deterministic Addressing</w:t>
      </w:r>
    </w:p>
    <w:p>
      <w:pPr>
        <w:pStyle w:val="FirstParagraph"/>
      </w:pPr>
      <w:r>
        <w:t xml:space="preserve">Addressing becomes deterministic and policy-driven, replacing ad-hoc assignment with identity-derived logic that enables accurate correlation and automated governance.</w:t>
      </w:r>
    </w:p>
    <w:bookmarkEnd w:id="30"/>
    <w:bookmarkStart w:id="31" w:name="certificate-anchored-overlay"/>
    <w:p>
      <w:pPr>
        <w:pStyle w:val="Heading3"/>
      </w:pPr>
      <w:r>
        <w:t xml:space="preserve">4. Certificate-Anchored Overlay</w:t>
      </w:r>
    </w:p>
    <w:p>
      <w:pPr>
        <w:pStyle w:val="FirstParagraph"/>
      </w:pPr>
      <w:r>
        <w:t xml:space="preserve">Certificates and mutual TLS anchor tunnels, services, and trust relationships across the enterprise.</w:t>
      </w:r>
    </w:p>
    <w:bookmarkEnd w:id="31"/>
    <w:bookmarkStart w:id="32" w:name="telemetry-as-control"/>
    <w:p>
      <w:pPr>
        <w:pStyle w:val="Heading3"/>
      </w:pPr>
      <w:r>
        <w:t xml:space="preserve">5. Telemetry as Control</w:t>
      </w:r>
    </w:p>
    <w:p>
      <w:pPr>
        <w:pStyle w:val="FirstParagraph"/>
      </w:pPr>
      <w:r>
        <w:t xml:space="preserve">Telemetry becomes an active control input for routing, security, and compliance decisions rather than a passive reporting mechanism.</w:t>
      </w:r>
    </w:p>
    <w:bookmarkEnd w:id="32"/>
    <w:bookmarkStart w:id="33" w:name="embedded-governance-automation"/>
    <w:p>
      <w:pPr>
        <w:pStyle w:val="Heading3"/>
      </w:pPr>
      <w:r>
        <w:t xml:space="preserve">6. Embedded Governance &amp; Automation</w:t>
      </w:r>
    </w:p>
    <w:p>
      <w:pPr>
        <w:pStyle w:val="FirstParagraph"/>
      </w:pPr>
      <w:r>
        <w:t xml:space="preserve">Governance is executed through orchestrated workflows that enforce policy consistently and reduce operational burden.</w:t>
      </w:r>
    </w:p>
    <w:bookmarkEnd w:id="33"/>
    <w:bookmarkStart w:id="34" w:name="public-service-first"/>
    <w:p>
      <w:pPr>
        <w:pStyle w:val="Heading3"/>
      </w:pPr>
      <w:r>
        <w:t xml:space="preserve">7. Public Service First</w:t>
      </w:r>
    </w:p>
    <w:p>
      <w:pPr>
        <w:pStyle w:val="FirstParagraph"/>
      </w:pPr>
      <w:r>
        <w:t xml:space="preserve">Citizen experience, accessibility, and privacy remain top-level design constraints.</w:t>
      </w:r>
    </w:p>
    <w:p>
      <w:r>
        <w:pict>
          <v:rect style="width:0;height:1.5pt" o:hralign="center" o:hrstd="t" o:hr="t"/>
        </w:pict>
      </w:r>
    </w:p>
    <w:bookmarkEnd w:id="34"/>
    <w:bookmarkEnd w:id="35"/>
    <w:bookmarkStart w:id="36" w:name="why-this-vision-matters"/>
    <w:p>
      <w:pPr>
        <w:pStyle w:val="Heading1"/>
      </w:pPr>
      <w:r>
        <w:t xml:space="preserve">Why This Vision Matters</w:t>
      </w:r>
    </w:p>
    <w:p>
      <w:pPr>
        <w:pStyle w:val="FirstParagraph"/>
      </w:pPr>
      <w:r>
        <w:t xml:space="preserve">The agency’s current environment is constrained by legacy TIC 2.0 routing patterns that force traffic through centralized bottlenecks, degrading performance and limiting cloud adoption. Identity remains anchored in on-premises Active Directory, creating governance gaps and inconsistent enforcement across divisions. Addressing is fragmented across spreadsheets and disconnected IPAM tools, making it difficult to correlate identity, device, and network activity. Telemetry is incomplete and siloed, preventing conversation-level visibility and limiting the agency’s ability to support INR, E911, or Zero Trust enforcement.</w:t>
      </w:r>
      <w:r>
        <w:t xml:space="preserve"> </w:t>
      </w:r>
      <w:r>
        <w:t xml:space="preserve">These limitations have direct mission impact. M365 performance is degraded by unnecessary hairpinning. Cyber risk increases when identity governance is inconsistent and telemetry is incomplete. Compliance gaps emerge when the agency cannot meet TIC 3.0, FedRAMP 20x Phase 2, or SCuBA expectations. Operational inefficiencies multiply when governance depends on manual tickets instead of automated workflows. Modernization is required to support mission readiness, cyber resilience, and citizen-facing services.</w:t>
      </w:r>
    </w:p>
    <w:p>
      <w:r>
        <w:pict>
          <v:rect style="width:0;height:1.5pt" o:hralign="center" o:hrstd="t" o:hr="t"/>
        </w:pict>
      </w:r>
    </w:p>
    <w:p>
      <w:pPr>
        <w:pStyle w:val="FirstParagraph"/>
      </w:pPr>
      <w:r>
        <w:rPr>
          <w:iCs/>
          <w:i/>
        </w:rPr>
        <w:t xml:space="preserve">End of Program Vision v1.0</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Program Vision</dc:title>
  <dc:creator/>
  <cp:keywords/>
  <dcterms:created xsi:type="dcterms:W3CDTF">2026-03-22T19:17:38Z</dcterms:created>
  <dcterms:modified xsi:type="dcterms:W3CDTF">2026-03-22T19:17:38Z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CUI/FOUO</vt:lpwstr>
  </property>
  <property fmtid="{D5CDD505-2E9C-101B-9397-08002B2CF9AE}" pid="3" name="version">
    <vt:lpwstr>1.0</vt:lpwstr>
  </property>
</Properties>
</file>