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TIC</w:t>
      </w:r>
      <w:r>
        <w:t xml:space="preserve"> </w:t>
      </w:r>
      <w:r>
        <w:t xml:space="preserve">3.0</w:t>
      </w:r>
      <w:r>
        <w:t xml:space="preserve"> </w:t>
      </w:r>
      <w:r>
        <w:t xml:space="preserve">Roadmap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uiao-tic-3.0-roadmap"/>
    <w:p>
      <w:pPr>
        <w:pStyle w:val="Heading1"/>
      </w:pPr>
      <w:r>
        <w:t xml:space="preserve">UIAO TIC 3.0 Roadmap</w:t>
      </w:r>
    </w:p>
    <w:p>
      <w:pPr>
        <w:pStyle w:val="FirstParagraph"/>
      </w:pPr>
      <w:r>
        <w:rPr>
          <w:bCs/>
          <w:b/>
        </w:rPr>
        <w:t xml:space="preserve">Version 1.0</w:t>
      </w:r>
    </w:p>
    <w:p>
      <w:r>
        <w:pict>
          <v:rect style="width:0;height:1.5pt" o:hralign="center" o:hrstd="t" o:hr="t"/>
        </w:pict>
      </w:r>
    </w:p>
    <w:bookmarkEnd w:id="20"/>
    <w:bookmarkStart w:id="21" w:name="why-tic-3.0-modernization-is-required"/>
    <w:p>
      <w:pPr>
        <w:pStyle w:val="Heading1"/>
      </w:pPr>
      <w:r>
        <w:t xml:space="preserve">Why TIC 3.0 Modernization Is Required</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20x Phase 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bookmarkEnd w:id="21"/>
    <w:bookmarkStart w:id="27" w:name="control-planes-supporting-tic-3.0"/>
    <w:p>
      <w:pPr>
        <w:pStyle w:val="Heading1"/>
      </w:pPr>
      <w:r>
        <w:t xml:space="preserve">Control Planes Supporting TIC 3.0</w:t>
      </w:r>
    </w:p>
    <w:bookmarkStart w:id="22" w:name="identity-control-plane"/>
    <w:p>
      <w:pPr>
        <w:pStyle w:val="Heading3"/>
      </w:pPr>
      <w:r>
        <w:t xml:space="preserve">1.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2"/>
    <w:bookmarkStart w:id="23" w:name="network-control-plane"/>
    <w:p>
      <w:pPr>
        <w:pStyle w:val="Heading3"/>
      </w:pPr>
      <w:r>
        <w:t xml:space="preserve">2.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3"/>
    <w:bookmarkStart w:id="24" w:name="addressing-control-plane"/>
    <w:p>
      <w:pPr>
        <w:pStyle w:val="Heading3"/>
      </w:pPr>
      <w:r>
        <w:t xml:space="preserve">3.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4"/>
    <w:bookmarkStart w:id="25" w:name="telemetry-location-control-plane"/>
    <w:p>
      <w:pPr>
        <w:pStyle w:val="Heading3"/>
      </w:pPr>
      <w:r>
        <w:t xml:space="preserve">4.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5"/>
    <w:bookmarkStart w:id="26" w:name="security-compliance-plane"/>
    <w:p>
      <w:pPr>
        <w:pStyle w:val="Heading3"/>
      </w:pPr>
      <w:r>
        <w:t xml:space="preserve">5. Security &amp; Compliance Plane</w:t>
      </w:r>
    </w:p>
    <w:p>
      <w:pPr>
        <w:pStyle w:val="FirstParagraph"/>
      </w:pPr>
      <w:r>
        <w:t xml:space="preserve">The Security and Compliance Plane aligns the architecture with TIC 3.0, Zero Trust, FedRAMP 20x Phase 2, NIST 800-63, and ICAM governance. Security becomes embedded in the architecture rather than bolted on, with automated enforcement replacing manual review.</w:t>
      </w:r>
    </w:p>
    <w:p>
      <w:r>
        <w:pict>
          <v:rect style="width:0;height:1.5pt" o:hralign="center" o:hrstd="t" o:hr="t"/>
        </w:pict>
      </w:r>
    </w:p>
    <w:bookmarkEnd w:id="26"/>
    <w:bookmarkEnd w:id="27"/>
    <w:bookmarkStart w:id="35" w:name="core-concepts-supporting-tic-3.0"/>
    <w:p>
      <w:pPr>
        <w:pStyle w:val="Heading1"/>
      </w:pPr>
      <w:r>
        <w:t xml:space="preserve">Core Concepts Supporting TIC 3.0</w:t>
      </w:r>
    </w:p>
    <w:bookmarkStart w:id="28" w:name="conversation-as-the-atomic-unit"/>
    <w:p>
      <w:pPr>
        <w:pStyle w:val="Heading3"/>
      </w:pPr>
      <w:r>
        <w:t xml:space="preserve">1. Conversation as the Atomic Unit</w:t>
      </w:r>
    </w:p>
    <w:p>
      <w:pPr>
        <w:pStyle w:val="FirstParagraph"/>
      </w:pPr>
      <w:r>
        <w:t xml:space="preserve">Every interaction—identity, certificate, addressing, path, QoS, and telemetry—is treated as a single, correlated conversation rather than isolated events.</w:t>
      </w:r>
    </w:p>
    <w:bookmarkEnd w:id="28"/>
    <w:bookmarkStart w:id="29" w:name="identity-as-the-root-namespace"/>
    <w:p>
      <w:pPr>
        <w:pStyle w:val="Heading3"/>
      </w:pPr>
      <w:r>
        <w:t xml:space="preserve">2. Identity as the Root Namespace</w:t>
      </w:r>
    </w:p>
    <w:p>
      <w:pPr>
        <w:pStyle w:val="FirstParagraph"/>
      </w:pPr>
      <w:r>
        <w:t xml:space="preserve">Identity becomes the root namespace for all resources, ensuring that every IP address, certificate, subnet, policy, and telemetry event is derived from or bound to identity.</w:t>
      </w:r>
    </w:p>
    <w:bookmarkEnd w:id="29"/>
    <w:bookmarkStart w:id="30" w:name="deterministic-addressing"/>
    <w:p>
      <w:pPr>
        <w:pStyle w:val="Heading3"/>
      </w:pPr>
      <w:r>
        <w:t xml:space="preserve">3. Deterministic Addressing</w:t>
      </w:r>
    </w:p>
    <w:p>
      <w:pPr>
        <w:pStyle w:val="FirstParagraph"/>
      </w:pPr>
      <w:r>
        <w:t xml:space="preserve">Addressing becomes deterministic and policy-driven, replacing ad-hoc assignment with identity-derived logic that enables accurate correlation and automated governance.</w:t>
      </w:r>
    </w:p>
    <w:bookmarkEnd w:id="30"/>
    <w:bookmarkStart w:id="31" w:name="certificate-anchored-overlay"/>
    <w:p>
      <w:pPr>
        <w:pStyle w:val="Heading3"/>
      </w:pPr>
      <w:r>
        <w:t xml:space="preserve">4. Certificate-Anchored Overlay</w:t>
      </w:r>
    </w:p>
    <w:p>
      <w:pPr>
        <w:pStyle w:val="FirstParagraph"/>
      </w:pPr>
      <w:r>
        <w:t xml:space="preserve">Certificates and mutual TLS anchor tunnels, services, and trust relationships across the enterprise.</w:t>
      </w:r>
    </w:p>
    <w:bookmarkEnd w:id="31"/>
    <w:bookmarkStart w:id="32" w:name="telemetry-as-control"/>
    <w:p>
      <w:pPr>
        <w:pStyle w:val="Heading3"/>
      </w:pPr>
      <w:r>
        <w:t xml:space="preserve">5. Telemetry as Control</w:t>
      </w:r>
    </w:p>
    <w:p>
      <w:pPr>
        <w:pStyle w:val="FirstParagraph"/>
      </w:pPr>
      <w:r>
        <w:t xml:space="preserve">Telemetry becomes an active control input for routing, security, and compliance decisions rather than a passive reporting mechanism.</w:t>
      </w:r>
    </w:p>
    <w:bookmarkEnd w:id="32"/>
    <w:bookmarkStart w:id="33" w:name="embedded-governance-automation"/>
    <w:p>
      <w:pPr>
        <w:pStyle w:val="Heading3"/>
      </w:pPr>
      <w:r>
        <w:t xml:space="preserve">6. Embedded Governance &amp; Automation</w:t>
      </w:r>
    </w:p>
    <w:p>
      <w:pPr>
        <w:pStyle w:val="FirstParagraph"/>
      </w:pPr>
      <w:r>
        <w:t xml:space="preserve">Governance is executed through orchestrated workflows that enforce policy consistently and reduce operational burden.</w:t>
      </w:r>
    </w:p>
    <w:bookmarkEnd w:id="33"/>
    <w:bookmarkStart w:id="34" w:name="public-service-first"/>
    <w:p>
      <w:pPr>
        <w:pStyle w:val="Heading3"/>
      </w:pPr>
      <w:r>
        <w:t xml:space="preserve">7. Public Service First</w:t>
      </w:r>
    </w:p>
    <w:p>
      <w:pPr>
        <w:pStyle w:val="FirstParagraph"/>
      </w:pPr>
      <w:r>
        <w:t xml:space="preserve">Citizen experience, accessibility, and privacy remain top-level design constraints.</w:t>
      </w:r>
    </w:p>
    <w:p>
      <w:r>
        <w:pict>
          <v:rect style="width:0;height:1.5pt" o:hralign="center" o:hrstd="t" o:hr="t"/>
        </w:pict>
      </w:r>
    </w:p>
    <w:bookmarkEnd w:id="34"/>
    <w:bookmarkEnd w:id="35"/>
    <w:bookmarkStart w:id="36" w:name="frozen-state-risks-tic-3.0-impact"/>
    <w:p>
      <w:pPr>
        <w:pStyle w:val="Heading1"/>
      </w:pPr>
      <w:r>
        <w:t xml:space="preserve">Frozen State Risks (TIC 3.0 Impact)</w:t>
      </w:r>
    </w:p>
    <w:p>
      <w:pPr>
        <w:pStyle w:val="FirstParagraph"/>
      </w:pPr>
      <w:r>
        <w:t xml:space="preserve">The agency’s current environment reflects a series of disconnected legacy systems that cannot support modern requirements. Identity is siloed across divisions, preventing a unified identity graph. Addressing is static and manually managed, creating operational risk and preventing accurate correlation. Network security relies on perimeter firewalls that cannot enforce identity-aware segmentation. Endpoint posture is inconsistent due to mixed tooling. Applications rely on monolithic architectures and local authentication, limiting scalability and modernization. Telemetry is collected but not correlated, preventing conversation-level visibility. Governance depends on email and manual change management, slowing operations and increasing error rates. Data protection relies on manual classification and noisy DLP, limiting effectiveness.</w:t>
      </w:r>
    </w:p>
    <w:p>
      <w:r>
        <w:pict>
          <v:rect style="width:0;height:1.5pt" o:hralign="center" o:hrstd="t" o:hr="t"/>
        </w:pict>
      </w:r>
    </w:p>
    <w:bookmarkEnd w:id="36"/>
    <w:bookmarkStart w:id="38" w:name="expected-tic-3.0-outcomes"/>
    <w:p>
      <w:pPr>
        <w:pStyle w:val="Heading1"/>
      </w:pPr>
      <w:r>
        <w:t xml:space="preserve">Expected TIC 3.0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20x Phase 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pPr>
        <w:pStyle w:val="SourceCode"/>
      </w:pPr>
      <w:r>
        <w:rPr>
          <w:rStyle w:val="VerbatimChar"/>
        </w:rPr>
        <w:t xml:space="preserve">  identity_lifecycle_scenarios:</w:t>
      </w:r>
    </w:p>
    <w:p>
      <w:pPr>
        <w:pStyle w:val="FirstParagraph"/>
      </w:pPr>
      <w:r>
        <w:t xml:space="preserve">mover_scenario:</w:t>
      </w:r>
      <w:r>
        <w:t xml:space="preserve"> </w:t>
      </w:r>
      <w:r>
        <w:t xml:space="preserve">persona:</w:t>
      </w:r>
      <w:r>
        <w:t xml:space="preserve"> </w:t>
      </w:r>
      <w:r>
        <w:t xml:space="preserve">“</w:t>
      </w:r>
      <w:r>
        <w:t xml:space="preserve">Sarah Miller, Senior Analyst</w:t>
      </w:r>
      <w:r>
        <w:t xml:space="preserve">”</w:t>
      </w:r>
      <w:r>
        <w:t xml:space="preserve"> </w:t>
      </w:r>
      <w:r>
        <w:t xml:space="preserve">event:</w:t>
      </w:r>
      <w:r>
        <w:t xml:space="preserve"> </w:t>
      </w:r>
      <w:r>
        <w:t xml:space="preserve">“</w:t>
      </w:r>
      <w:r>
        <w:t xml:space="preserve">Internal Transfer from Field Operations (Dept 400) to Cyber Policy (Dept 800)</w:t>
      </w:r>
      <w:r>
        <w:t xml:space="preserve">”</w:t>
      </w:r>
      <w:r>
        <w:t xml:space="preserve"> </w:t>
      </w:r>
      <w:r>
        <w:t xml:space="preserve">narrative: &gt;</w:t>
      </w:r>
      <w:r>
        <w:t xml:space="preserve"> </w:t>
      </w:r>
      <w:r>
        <w:t xml:space="preserve">The Mover scenario demonstrates Zero-Touch internal transfers.</w:t>
      </w:r>
      <w:r>
        <w:t xml:space="preserve"> </w:t>
      </w:r>
      <w:r>
        <w:t xml:space="preserve">When the HRIS updates Sarah’s department ID, the Entra ID</w:t>
      </w:r>
      <w:r>
        <w:t xml:space="preserve"> </w:t>
      </w:r>
      <w:r>
        <w:t xml:space="preserve">Provisioning Service detects the attribute change within one hour.</w:t>
      </w:r>
      <w:r>
        <w:t xml:space="preserve"> </w:t>
      </w:r>
      <w:r>
        <w:t xml:space="preserve">The ABAC engine evaluates her identity against dynamic groups.</w:t>
      </w:r>
      <w:r>
        <w:t xml:space="preserve"> </w:t>
      </w:r>
      <w:r>
        <w:t xml:space="preserve">She is automatically removed from Field Ops Users (department eq 400)</w:t>
      </w:r>
      <w:r>
        <w:t xml:space="preserve"> </w:t>
      </w:r>
      <w:r>
        <w:t xml:space="preserve">and added to Cyber Policy Users (department eq 800). Access to</w:t>
      </w:r>
      <w:r>
        <w:t xml:space="preserve"> </w:t>
      </w:r>
      <w:r>
        <w:t xml:space="preserve">Field Operations SharePoint is revoked while Cyber Policy Teams</w:t>
      </w:r>
      <w:r>
        <w:t xml:space="preserve"> </w:t>
      </w:r>
      <w:r>
        <w:t xml:space="preserve">channel, Agency Policy Repository, and Moderate-Security Azure</w:t>
      </w:r>
      <w:r>
        <w:t xml:space="preserve"> </w:t>
      </w:r>
      <w:r>
        <w:t xml:space="preserve">enclave are provisioned instantly. Conditional Access updates to</w:t>
      </w:r>
      <w:r>
        <w:t xml:space="preserve"> </w:t>
      </w:r>
      <w:r>
        <w:t xml:space="preserve">require phishing-resistant MFA (PIV Card) for policy-specific</w:t>
      </w:r>
      <w:r>
        <w:t xml:space="preserve"> </w:t>
      </w:r>
      <w:r>
        <w:t xml:space="preserve">resources. The Sync Orchestrator updates her ServiceNow CI record</w:t>
      </w:r>
      <w:r>
        <w:t xml:space="preserve"> </w:t>
      </w:r>
      <w:r>
        <w:t xml:space="preserve">and notifies the Cyber Policy Lead via MS Teams.</w:t>
      </w:r>
      <w:r>
        <w:t xml:space="preserve"> </w:t>
      </w:r>
      <w:r>
        <w:t xml:space="preserve">metrics:</w:t>
      </w:r>
      <w:r>
        <w:t xml:space="preserve"> </w:t>
      </w:r>
      <w:r>
        <w:t xml:space="preserve">time_to_productivity:</w:t>
      </w:r>
      <w:r>
        <w:t xml:space="preserve"> </w:t>
      </w:r>
      <w:r>
        <w:t xml:space="preserve">“</w:t>
      </w:r>
      <w:r>
        <w:t xml:space="preserve">Reduced from 5-7 days to less than 60 minutes</w:t>
      </w:r>
      <w:r>
        <w:t xml:space="preserve">”</w:t>
      </w:r>
      <w:r>
        <w:t xml:space="preserve"> </w:t>
      </w:r>
      <w:r>
        <w:t xml:space="preserve">security_risk:</w:t>
      </w:r>
      <w:r>
        <w:t xml:space="preserve"> </w:t>
      </w:r>
      <w:r>
        <w:t xml:space="preserve">“</w:t>
      </w:r>
      <w:r>
        <w:t xml:space="preserve">Eliminated access creep from accumulated permissions</w:t>
      </w:r>
      <w:r>
        <w:t xml:space="preserve">”</w:t>
      </w:r>
      <w:r>
        <w:t xml:space="preserve"> </w:t>
      </w:r>
      <w:r>
        <w:t xml:space="preserve">admin_load:</w:t>
      </w:r>
      <w:r>
        <w:t xml:space="preserve"> </w:t>
      </w:r>
      <w:r>
        <w:t xml:space="preserve">“</w:t>
      </w:r>
      <w:r>
        <w:t xml:space="preserve">100% reduction in manual group management for transfers</w:t>
      </w:r>
      <w:r>
        <w:t xml:space="preserve">”</w:t>
      </w:r>
      <w:r>
        <w:t xml:space="preserve"> </w:t>
      </w:r>
      <w:r>
        <w:t xml:space="preserve">leaver_scenario:</w:t>
      </w:r>
      <w:r>
        <w:t xml:space="preserve"> </w:t>
      </w:r>
      <w:r>
        <w:t xml:space="preserve">persona:</w:t>
      </w:r>
      <w:r>
        <w:t xml:space="preserve"> </w:t>
      </w:r>
      <w:r>
        <w:t xml:space="preserve">“</w:t>
      </w:r>
      <w:r>
        <w:t xml:space="preserve">James Vance, Contractor</w:t>
      </w:r>
      <w:r>
        <w:t xml:space="preserve">”</w:t>
      </w:r>
      <w:r>
        <w:t xml:space="preserve"> </w:t>
      </w:r>
      <w:r>
        <w:t xml:space="preserve">event:</w:t>
      </w:r>
      <w:r>
        <w:t xml:space="preserve"> </w:t>
      </w:r>
      <w:r>
        <w:t xml:space="preserve">“</w:t>
      </w:r>
      <w:r>
        <w:t xml:space="preserve">Immediate Separation (End of Contract / High-Risk Departure)</w:t>
      </w:r>
      <w:r>
        <w:t xml:space="preserve">”</w:t>
      </w:r>
      <w:r>
        <w:t xml:space="preserve"> </w:t>
      </w:r>
      <w:r>
        <w:t xml:space="preserve">narrative: &gt;</w:t>
      </w:r>
      <w:r>
        <w:t xml:space="preserve"> </w:t>
      </w:r>
      <w:r>
        <w:t xml:space="preserve">The Leaver scenario demonstrates the automated kill switch.</w:t>
      </w:r>
      <w:r>
        <w:t xml:space="preserve"> </w:t>
      </w:r>
      <w:r>
        <w:t xml:space="preserve">When HR finalizes the separation, the HRIS pushes a status update</w:t>
      </w:r>
      <w:r>
        <w:t xml:space="preserve"> </w:t>
      </w:r>
      <w:r>
        <w:t xml:space="preserve">setting Employee Status to Terminated with immediate effect.</w:t>
      </w:r>
      <w:r>
        <w:t xml:space="preserve"> </w:t>
      </w:r>
      <w:r>
        <w:t xml:space="preserve">Entra ID disables the account within seconds, blocking all new</w:t>
      </w:r>
      <w:r>
        <w:t xml:space="preserve"> </w:t>
      </w:r>
      <w:r>
        <w:t xml:space="preserve">sign-in sessions across M365, Azure, ServiceNow, and federated</w:t>
      </w:r>
      <w:r>
        <w:t xml:space="preserve"> </w:t>
      </w:r>
      <w:r>
        <w:t xml:space="preserve">apps. Continuous Access Evaluation (CAE) issues a revocation</w:t>
      </w:r>
      <w:r>
        <w:t xml:space="preserve"> </w:t>
      </w:r>
      <w:r>
        <w:t xml:space="preserve">signal to all supporting apps, terminating active sessions</w:t>
      </w:r>
      <w:r>
        <w:t xml:space="preserve"> </w:t>
      </w:r>
      <w:r>
        <w:t xml:space="preserve">instantly without waiting for token expiry. The Sync Orchestrator</w:t>
      </w:r>
      <w:r>
        <w:t xml:space="preserve"> </w:t>
      </w:r>
      <w:r>
        <w:t xml:space="preserve">moves all assigned assets (laptop, PIV card, mobile) to</w:t>
      </w:r>
      <w:r>
        <w:t xml:space="preserve"> </w:t>
      </w:r>
      <w:r>
        <w:t xml:space="preserve">In Stock Pending Recovery status in ServiceNow and generates</w:t>
      </w:r>
      <w:r>
        <w:t xml:space="preserve"> </w:t>
      </w:r>
      <w:r>
        <w:t xml:space="preserve">a high-priority recovery ticket for Physical Security. Sentinel</w:t>
      </w:r>
      <w:r>
        <w:t xml:space="preserve"> </w:t>
      </w:r>
      <w:r>
        <w:t xml:space="preserve">logs the disablement and monitors for failed login attempts.</w:t>
      </w:r>
      <w:r>
        <w:t xml:space="preserve"> </w:t>
      </w:r>
      <w:r>
        <w:t xml:space="preserve">A final Atlas Report is sent to the Department Lead and Security</w:t>
      </w:r>
      <w:r>
        <w:t xml:space="preserve"> </w:t>
      </w:r>
      <w:r>
        <w:t xml:space="preserve">via MS Teams.</w:t>
      </w:r>
      <w:r>
        <w:t xml:space="preserve"> </w:t>
      </w:r>
      <w:r>
        <w:t xml:space="preserve">metrics:</w:t>
      </w:r>
      <w:r>
        <w:t xml:space="preserve"> </w:t>
      </w:r>
      <w:r>
        <w:t xml:space="preserve">revocation_latency:</w:t>
      </w:r>
      <w:r>
        <w:t xml:space="preserve"> </w:t>
      </w:r>
      <w:r>
        <w:t xml:space="preserve">“</w:t>
      </w:r>
      <w:r>
        <w:t xml:space="preserve">Reduced from hours/days to less than 120 seconds</w:t>
      </w:r>
      <w:r>
        <w:t xml:space="preserve">”</w:t>
      </w:r>
      <w:r>
        <w:t xml:space="preserve"> </w:t>
      </w:r>
      <w:r>
        <w:t xml:space="preserve">audit_compliance:</w:t>
      </w:r>
      <w:r>
        <w:t xml:space="preserve"> </w:t>
      </w:r>
      <w:r>
        <w:t xml:space="preserve">“</w:t>
      </w:r>
      <w:r>
        <w:t xml:space="preserve">100% automated logging for FISMA and GCC-Moderate separation</w:t>
      </w:r>
      <w:r>
        <w:t xml:space="preserve">”</w:t>
      </w:r>
      <w:r>
        <w:t xml:space="preserve"> </w:t>
      </w:r>
      <w:r>
        <w:t xml:space="preserve">asset_accountability:</w:t>
      </w:r>
      <w:r>
        <w:t xml:space="preserve"> </w:t>
      </w:r>
      <w:r>
        <w:t xml:space="preserve">“</w:t>
      </w:r>
      <w:r>
        <w:t xml:space="preserve">Zero-latency flagging of agency hardware for recovery</w:t>
      </w:r>
      <w:r>
        <w:t xml:space="preserve">”</w:t>
      </w:r>
    </w:p>
    <w:p>
      <w:r>
        <w:pict>
          <v:rect style="width:0;height:1.5pt" o:hralign="center" o:hrstd="t" o:hr="t"/>
        </w:pict>
      </w:r>
    </w:p>
    <w:bookmarkStart w:id="37" w:name="Xa469865eab054ea7ec42cc3b4c138d1c8e491b9"/>
    <w:p>
      <w:pPr>
        <w:pStyle w:val="Heading2"/>
      </w:pPr>
      <w:r>
        <w:t xml:space="preserve">The Perimeter Collapse: TIC 2.2 to UIAO (Visual V4)</w:t>
      </w:r>
    </w:p>
    <w:p>
      <w:pPr>
        <w:pStyle w:val="FirstParagraph"/>
      </w:pPr>
      <w:r>
        <w:t xml:space="preserve">The</w:t>
      </w:r>
      <w:r>
        <w:t xml:space="preserve"> </w:t>
      </w:r>
      <w:r>
        <w:t xml:space="preserve">“</w:t>
      </w:r>
      <w:r>
        <w:t xml:space="preserve">Modernization Atlas</w:t>
      </w:r>
      <w:r>
        <w:t xml:space="preserve">”</w:t>
      </w:r>
      <w:r>
        <w:t xml:space="preserve"> </w:t>
      </w:r>
      <w:r>
        <w:t xml:space="preserve">visualizes the fundamental shift from rigid, hardware-bound perimeters to a flexible, software-defined trust fabric. The following table details the</w:t>
      </w:r>
      <w:r>
        <w:t xml:space="preserve"> </w:t>
      </w:r>
      <w:r>
        <w:rPr>
          <w:bCs/>
          <w:b/>
        </w:rPr>
        <w:t xml:space="preserve">Perimeter Collapse</w:t>
      </w:r>
      <w:r>
        <w:t xml:space="preserve">—the decommissioning of legacy silos in favor of the UIAO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Modernization Pillar</w:t>
            </w:r>
          </w:p>
        </w:tc>
        <w:tc>
          <w:tcPr/>
          <w:p>
            <w:pPr>
              <w:pStyle w:val="Compact"/>
              <w:jc w:val="left"/>
            </w:pPr>
            <w:r>
              <w:t xml:space="preserve">Legacy State (TIC 2.2)</w:t>
            </w:r>
          </w:p>
        </w:tc>
        <w:tc>
          <w:tcPr/>
          <w:p>
            <w:pPr>
              <w:pStyle w:val="Compact"/>
              <w:jc w:val="left"/>
            </w:pPr>
            <w:r>
              <w:t xml:space="preserve">UIAO Future State (TIC 3.0)</w:t>
            </w:r>
          </w:p>
        </w:tc>
        <w:tc>
          <w:tcPr/>
          <w:p>
            <w:pPr>
              <w:pStyle w:val="Compact"/>
              <w:jc w:val="left"/>
            </w:pPr>
            <w:r>
              <w:t xml:space="preserve">Strategic Mission Impact</w:t>
            </w:r>
          </w:p>
        </w:tc>
      </w:tr>
      <w:tr>
        <w:tc>
          <w:tcPr/>
          <w:p>
            <w:pPr>
              <w:pStyle w:val="Compact"/>
              <w:jc w:val="left"/>
            </w:pPr>
            <w:r>
              <w:rPr>
                <w:bCs/>
                <w:b/>
              </w:rPr>
              <w:t xml:space="preserve">Connectivity</w:t>
            </w:r>
          </w:p>
        </w:tc>
        <w:tc>
          <w:tcPr/>
          <w:p>
            <w:pPr>
              <w:pStyle w:val="Compact"/>
              <w:jc w:val="left"/>
            </w:pPr>
            <w:r>
              <w:t xml:space="preserve">MTIPS / Hub-and-Spoke (Centralized Circuit Bottlenecks)</w:t>
            </w:r>
          </w:p>
        </w:tc>
        <w:tc>
          <w:tcPr/>
          <w:p>
            <w:pPr>
              <w:pStyle w:val="Compact"/>
              <w:jc w:val="left"/>
            </w:pPr>
            <w:r>
              <w:rPr>
                <w:bCs/>
                <w:b/>
              </w:rPr>
              <w:t xml:space="preserve">Cisco SD-WAN Overlay with Direct Internet Access (DIA)</w:t>
            </w:r>
          </w:p>
        </w:tc>
        <w:tc>
          <w:tcPr/>
          <w:p>
            <w:pPr>
              <w:pStyle w:val="Compact"/>
              <w:jc w:val="left"/>
            </w:pPr>
            <w:r>
              <w:t xml:space="preserve">Eliminates circuit-based latency and MTIPS hair-pinning.</w:t>
            </w:r>
          </w:p>
        </w:tc>
      </w:tr>
      <w:tr>
        <w:tc>
          <w:tcPr/>
          <w:p>
            <w:pPr>
              <w:pStyle w:val="Compact"/>
              <w:jc w:val="left"/>
            </w:pPr>
            <w:r>
              <w:rPr>
                <w:bCs/>
                <w:b/>
              </w:rPr>
              <w:t xml:space="preserve">Enforcement</w:t>
            </w:r>
          </w:p>
        </w:tc>
        <w:tc>
          <w:tcPr/>
          <w:p>
            <w:pPr>
              <w:pStyle w:val="Compact"/>
              <w:jc w:val="left"/>
            </w:pPr>
            <w:r>
              <w:t xml:space="preserve">Static Physical PEPs (Hardware Firewalls &amp; IDS Silos)</w:t>
            </w:r>
          </w:p>
        </w:tc>
        <w:tc>
          <w:tcPr/>
          <w:p>
            <w:pPr>
              <w:pStyle w:val="Compact"/>
              <w:jc w:val="left"/>
            </w:pPr>
            <w:r>
              <w:rPr>
                <w:bCs/>
                <w:b/>
              </w:rPr>
              <w:t xml:space="preserve">Distributed PEPs (Virtual Security &amp; Trust Zone Boundaries)</w:t>
            </w:r>
          </w:p>
        </w:tc>
        <w:tc>
          <w:tcPr/>
          <w:p>
            <w:pPr>
              <w:pStyle w:val="Compact"/>
              <w:jc w:val="left"/>
            </w:pPr>
            <w:r>
              <w:t xml:space="preserve">Moves protection to the data/user boundary (TIC 3.0 Zones).</w:t>
            </w:r>
          </w:p>
        </w:tc>
      </w:tr>
      <w:tr>
        <w:tc>
          <w:tcPr/>
          <w:p>
            <w:pPr>
              <w:pStyle w:val="Compact"/>
              <w:jc w:val="left"/>
            </w:pPr>
            <w:r>
              <w:rPr>
                <w:bCs/>
                <w:b/>
              </w:rPr>
              <w:t xml:space="preserve">Trust Model</w:t>
            </w:r>
          </w:p>
        </w:tc>
        <w:tc>
          <w:tcPr/>
          <w:p>
            <w:pPr>
              <w:pStyle w:val="Compact"/>
              <w:jc w:val="left"/>
            </w:pPr>
            <w:r>
              <w:t xml:space="preserve">Location-Based Trust (On-Prem = Trusted)</w:t>
            </w:r>
          </w:p>
        </w:tc>
        <w:tc>
          <w:tcPr/>
          <w:p>
            <w:pPr>
              <w:pStyle w:val="Compact"/>
              <w:jc w:val="left"/>
            </w:pPr>
            <w:r>
              <w:rPr>
                <w:bCs/>
                <w:b/>
              </w:rPr>
              <w:t xml:space="preserve">Cryptographically Proven Identity (mTLS &amp; FIDO2)</w:t>
            </w:r>
          </w:p>
        </w:tc>
        <w:tc>
          <w:tcPr/>
          <w:p>
            <w:pPr>
              <w:pStyle w:val="Compact"/>
              <w:jc w:val="left"/>
            </w:pPr>
            <w:r>
              <w:t xml:space="preserve">Prevents lateral movement; zero implicit network trust.</w:t>
            </w:r>
          </w:p>
        </w:tc>
      </w:tr>
      <w:tr>
        <w:tc>
          <w:tcPr/>
          <w:p>
            <w:pPr>
              <w:pStyle w:val="Compact"/>
              <w:jc w:val="left"/>
            </w:pPr>
            <w:r>
              <w:rPr>
                <w:bCs/>
                <w:b/>
              </w:rPr>
              <w:t xml:space="preserve">Routing</w:t>
            </w:r>
          </w:p>
        </w:tc>
        <w:tc>
          <w:tcPr/>
          <w:p>
            <w:pPr>
              <w:pStyle w:val="Compact"/>
              <w:jc w:val="left"/>
            </w:pPr>
            <w:r>
              <w:t xml:space="preserve">Static MPLS Hairpinning to Data Centers</w:t>
            </w:r>
          </w:p>
        </w:tc>
        <w:tc>
          <w:tcPr/>
          <w:p>
            <w:pPr>
              <w:pStyle w:val="Compact"/>
              <w:jc w:val="left"/>
            </w:pPr>
            <w:r>
              <w:rPr>
                <w:bCs/>
                <w:b/>
              </w:rPr>
              <w:t xml:space="preserve">Dynamic Microsoft INR (Internet Routing) Optimization</w:t>
            </w:r>
          </w:p>
        </w:tc>
        <w:tc>
          <w:tcPr/>
          <w:p>
            <w:pPr>
              <w:pStyle w:val="Compact"/>
              <w:jc w:val="left"/>
            </w:pPr>
            <w:r>
              <w:t xml:space="preserve">Optimizes path performance for Cloud/SaaS-heavy workloads.</w:t>
            </w:r>
          </w:p>
        </w:tc>
      </w:tr>
    </w:tbl>
    <w:p>
      <w:pPr>
        <w:pStyle w:val="BlockText"/>
      </w:pPr>
      <w:r>
        <w:rPr>
          <w:bCs/>
          <w:b/>
        </w:rPr>
        <w:t xml:space="preserve">Foreman’s Directive:</w:t>
      </w:r>
      <w:r>
        <w:t xml:space="preserve"> </w:t>
      </w:r>
      <w:r>
        <w:t xml:space="preserve">This transition is verified by the</w:t>
      </w:r>
      <w:r>
        <w:t xml:space="preserve"> </w:t>
      </w:r>
      <w:r>
        <w:rPr>
          <w:bCs/>
          <w:b/>
        </w:rPr>
        <w:t xml:space="preserve">V4 Modernization Atlas</w:t>
      </w:r>
      <w:r>
        <w:t xml:space="preserve"> </w:t>
      </w:r>
      <w:r>
        <w:t xml:space="preserve">graphic. By collapsing these silos,</w:t>
      </w:r>
      <w:r>
        <w:t xml:space="preserve"> </w:t>
      </w:r>
      <w:r>
        <w:rPr>
          <w:bCs/>
          <w:b/>
        </w:rPr>
        <w:t xml:space="preserve">the agency</w:t>
      </w:r>
      <w:r>
        <w:t xml:space="preserve"> </w:t>
      </w:r>
      <w:r>
        <w:t xml:space="preserve">achieves the</w:t>
      </w:r>
      <w:r>
        <w:t xml:space="preserve"> </w:t>
      </w:r>
      <w:r>
        <w:t xml:space="preserve">‘</w:t>
      </w:r>
      <w:r>
        <w:t xml:space="preserve">Advanced</w:t>
      </w:r>
      <w:r>
        <w:t xml:space="preserve">’</w:t>
      </w:r>
      <w:r>
        <w:t xml:space="preserve"> </w:t>
      </w:r>
      <w:r>
        <w:t xml:space="preserve">level in the Network/Environment pillar of the CISA Zero Trust Maturity Model.</w:t>
      </w:r>
    </w:p>
    <w:p>
      <w:r>
        <w:pict>
          <v:rect style="width:0;height:1.5pt" o:hralign="center" o:hrstd="t" o:hr="t"/>
        </w:pict>
      </w:r>
    </w:p>
    <w:p>
      <w:pPr>
        <w:pStyle w:val="FirstParagraph"/>
      </w:pPr>
      <w:r>
        <w:rPr>
          <w:iCs/>
          <w:i/>
        </w:rPr>
        <w:t xml:space="preserve">End of TIC 3.0 Roadmap v1.0</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TIC 3.0 Roadmap</dc:title>
  <dc:creator/>
  <cp:keywords/>
  <dcterms:created xsi:type="dcterms:W3CDTF">2026-03-22T19:17:38Z</dcterms:created>
  <dcterms:modified xsi:type="dcterms:W3CDTF">2026-03-22T19:17:38Z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