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0 Book 00a — Federal Application-Aware Networking — Executive Brief</w:t>
      </w:r>
    </w:p>
    <w:p>
      <w:pPr>
        <w:pStyle w:val="Subtitle"/>
      </w:pPr>
      <w:r>
        <w:t xml:space="preserve">Two-page decision brief for authorizing officials, program executives, and budget decision-makers</w:t>
      </w:r>
    </w:p>
    <w:p>
      <w:pPr>
        <w:pStyle w:val="Date"/>
      </w:pPr>
      <w:r>
        <w:t xml:space="preserve">2026-07-14 10:17 ET</w:t>
      </w:r>
    </w:p>
    <w:p>
      <w:pPr>
        <w:pStyle w:val="ExecSummary"/>
      </w:pPr>
      <w:r>
        <w:rPr>
          <w:b/>
          <w:bCs/>
        </w:rPr>
        <w:t xml:space="preserve">Read this first. It is the two-page brief.</w:t>
      </w:r>
      <w:r>
        <w:t xml:space="preserve"> The technical body — the per-book NIST SP 800-53 control-closure tables — lives in </w:t>
      </w:r>
      <w:r>
        <w:rPr>
          <w:b/>
          <w:bCs/>
        </w:rPr>
        <w:t>Vol 0 Book 00 (the Executive Summary / technical compendium)</w:t>
      </w:r>
      <w:r>
        <w:t>. This brief carries only the thesis, the deadlines that bind, the decisions we need, and what inaction costs.</w:t>
      </w:r>
    </w:p>
    <w:bookmarkStart w:id="9" w:name="the-thesis-in-one-paragraph"/>
    <w:p>
      <w:pPr>
        <w:pStyle w:val="Heading2"/>
      </w:pPr>
      <w:r>
        <w:t xml:space="preserve">The thesis, in one paragraph</w:t>
      </w:r>
    </w:p>
    <w:p>
      <w:pPr>
        <w:pStyle w:val="FirstParagraph"/>
      </w:pPr>
      <w:r>
        <w:t xml:space="preserve">SSA’s federal compliance debt is </w:t>
      </w:r>
      <w:r>
        <w:rPr>
          <w:b/>
          <w:bCs/>
        </w:rPr>
        <w:t>not a resource shortage — it is an architectural pattern mismatch.</w:t>
      </w:r>
      <w:r>
        <w:t xml:space="preserve"> The estate was built for a world where compute, identity, and communication sat inside a perimeter; the controls now required under Executive Order 14028, OMB M-22-09, TIC 3.0, and the FedRAMP 20x Consolidated Rules (CR26) cannot be satisfied by a perimeter architecture at any budget. The implementations in this series are therefore </w:t>
      </w:r>
      <w:r>
        <w:rPr>
          <w:b/>
          <w:bCs/>
        </w:rPr>
        <w:t>structural prerequisites for an agency Moderate authorization whose evidence survives the FedRAMP 20x transition</w:t>
      </w:r>
      <w:r>
        <w:t xml:space="preserve">, not optional modernization projects. A small number of “truth-plane” mechanisms — authoritative </w:t>
      </w:r>
      <w:r>
        <w:rPr>
          <w:b/>
          <w:bCs/>
        </w:rPr>
        <w:t xml:space="preserve">IPAM/DDI</w:t>
      </w:r>
      <w:r>
        <w:t xml:space="preserve"> naming, cryptographic </w:t>
      </w:r>
      <w:r>
        <w:rPr>
          <w:b/>
          <w:bCs/>
        </w:rPr>
        <w:t xml:space="preserve">identity</w:t>
      </w:r>
      <w:r>
        <w:t xml:space="preserve">, and a unified </w:t>
      </w:r>
      <w:r>
        <w:rPr>
          <w:b/>
          <w:bCs/>
        </w:rPr>
        <w:t xml:space="preserve">evidence</w:t>
      </w:r>
      <w:r>
        <w:t xml:space="preserve"> contract — are load-bearing: everything else can be re-platformed; these can only be depended on.</w:t>
      </w:r>
    </w:p>
    <w:bookmarkEnd w:id="9"/>
    <w:bookmarkStart w:id="10" w:name="the-three-deadlines-that-bind"/>
    <w:p>
      <w:pPr>
        <w:pStyle w:val="Heading2"/>
      </w:pPr>
      <w:r>
        <w:t xml:space="preserve">The three deadlines that bind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917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Why it binds SSA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 31, 2026</w:t>
            </w:r>
          </w:p>
        </w:tc>
        <w:tc>
          <w:tcPr/>
          <w:p>
            <w:pPr>
              <w:pStyle w:val="Compact"/>
            </w:pPr>
            <w:r>
              <w:t xml:space="preserve">FedRAMP 20x </w:t>
            </w:r>
            <w:r>
              <w:rPr>
                <w:b/>
                <w:bCs/>
              </w:rPr>
              <w:t xml:space="preserve">Class B + C opens</w:t>
            </w:r>
          </w:p>
        </w:tc>
        <w:tc>
          <w:tcPr/>
          <w:p>
            <w:pPr>
              <w:pStyle w:val="Compact"/>
            </w:pPr>
            <w:r>
              <w:t xml:space="preserve">The pipeline SSA’s inherited Moderate providers enter — </w:t>
            </w:r>
            <w:r>
              <w:rPr>
                <w:b/>
                <w:bCs/>
              </w:rPr>
              <w:t xml:space="preserve">SSA’s window</w:t>
            </w:r>
            <w:r>
              <w:t xml:space="preserve">. The substrate must exist to structure inherited evidence cleanly.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 7, 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 26-04 VDR/VER</w:t>
            </w:r>
            <w:r>
              <w:t xml:space="preserve"> in force</w:t>
            </w:r>
          </w:p>
        </w:tc>
        <w:tc>
          <w:tcPr/>
          <w:p>
            <w:pPr>
              <w:pStyle w:val="Compact"/>
            </w:pPr>
            <w:r>
              <w:t xml:space="preserve">SBOM + vendor disclosure required; risk-based remediation timelines live.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 1, 2027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CR26 mandatory</w:t>
            </w:r>
          </w:p>
        </w:tc>
        <w:tc>
          <w:tcPr/>
          <w:p>
            <w:pPr>
              <w:pStyle w:val="Compact"/>
            </w:pPr>
            <w:r>
              <w:t xml:space="preserve">All ConMon evidence must be machine-readable KSI format.</w:t>
            </w:r>
          </w:p>
        </w:tc>
      </w:tr>
    </w:tbl>
    <w:p>
      <w:pPr>
        <w:pStyle w:val="BodyText"/>
      </w:pPr>
      <w:r>
        <w:t xml:space="preserve">Two nearer non-FedRAMP clocks also run against controls this series closes: </w:t>
      </w:r>
      <w:r>
        <w:rPr>
          <w:b/>
          <w:bCs/>
        </w:rPr>
        <w:t xml:space="preserve">Aug 7, 2026</w:t>
      </w:r>
      <w:r>
        <w:t xml:space="preserve"> (BOD 26-04 agency policies due) and </w:t>
      </w:r>
      <w:r>
        <w:rPr>
          <w:b/>
          <w:bCs/>
        </w:rPr>
        <w:t xml:space="preserve">Sep 21, 2026</w:t>
      </w:r>
      <w:r>
        <w:t xml:space="preserve"> (FIPS 140-2 certificates move to the NIST Historical List). The fully-sourced narrative timeline is the </w:t>
      </w:r>
      <w:r>
        <w:rPr>
          <w:i/>
          <w:iCs/>
        </w:rPr>
        <w:t xml:space="preserve">ConMon Gap Roadmap</w:t>
      </w:r>
      <w:r>
        <w:t xml:space="preserve">; the binding dates come from </w:t>
      </w:r>
      <w:r>
        <w:rPr>
          <w:rStyle w:val="VerbatimChar"/>
        </w:rPr>
        <w:t xml:space="preserve">aan-authority-deadlines.yml</w:t>
      </w:r>
      <w:r>
        <w:t>, the gated registry that is the single source of truth for every federal date the series cites.</w:t>
      </w:r>
    </w:p>
    <w:bookmarkEnd w:id="10"/>
    <w:bookmarkStart w:id="11" w:name="decisions-required-from-ois-cio"/>
    <w:p>
      <w:pPr>
        <w:pStyle w:val="Heading2"/>
      </w:pPr>
      <w:r>
        <w:t xml:space="preserve">Decisions required from OIS / CIO</w:t>
      </w:r>
    </w:p>
    <w:p>
      <w:pPr>
        <w:pStyle w:val="FirstParagraph"/>
      </w:pPr>
      <w:r>
        <w:t xml:space="preserve">This work has </w:t>
      </w:r>
      <w:r>
        <w:rPr>
          <w:b/>
          <w:bCs/>
        </w:rPr>
        <w:t xml:space="preserve">not</w:t>
      </w:r>
      <w:r>
        <w:t xml:space="preserve"> been reviewed or endorsed by OIS or the CIO — the authoring team does not hold that authority, and this is a required step before any commitment. The specific decisions: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Endorse (or redirect) the architecture doctrine.</w:t>
      </w:r>
      <w:r>
        <w:t xml:space="preserve"> Owner: </w:t>
      </w:r>
      <w:r>
        <w:rPr>
          <w:b/>
          <w:bCs/>
        </w:rPr>
        <w:t xml:space="preserve">OIS + CIO</w:t>
      </w:r>
      <w:r>
        <w:t xml:space="preserve"> · By: </w:t>
      </w:r>
      <w:r>
        <w:rPr>
          <w:b/>
          <w:bCs/>
        </w:rPr>
        <w:t xml:space="preserve">before any procurement or build commitment.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>Accept the ServiceNow High-on-Moderate boundary treatment, or name a Moderate-authorized alternative.</w:t>
      </w:r>
      <w:r>
        <w:t xml:space="preserve"> ServiceNow Government Cloud is FedRAMP </w:t>
      </w:r>
      <w:r>
        <w:rPr>
          <w:i/>
          <w:iCs/>
        </w:rPr>
        <w:t xml:space="preserve">High</w:t>
      </w:r>
      <w:r>
        <w:t xml:space="preserve"> coordinating a </w:t>
      </w:r>
      <w:r>
        <w:rPr>
          <w:i/>
          <w:iCs/>
        </w:rPr>
        <w:t xml:space="preserve">Moderate</w:t>
      </w:r>
      <w:r>
        <w:t xml:space="preserve"> boundary (a conservative delta). Owner: </w:t>
      </w:r>
      <w:r>
        <w:rPr>
          <w:b/>
          <w:bCs/>
        </w:rPr>
        <w:t xml:space="preserve">AO / ISSO</w:t>
      </w:r>
      <w:r>
        <w:t xml:space="preserve"> · By: </w:t>
      </w:r>
      <w:r>
        <w:rPr>
          <w:b/>
          <w:bCs/>
        </w:rPr>
        <w:t xml:space="preserve">before the Vol VII–IX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the load-bearing substrate first</w:t>
      </w:r>
      <w:r>
        <w:t xml:space="preserve"> — IPAM/DDI, then the SD-WAN transport overlay and TIC 3.0 enforcement. Owner: </w:t>
      </w:r>
      <w:r>
        <w:rPr>
          <w:b/>
          <w:bCs/>
        </w:rPr>
        <w:t xml:space="preserve">CIO / budget</w:t>
      </w:r>
      <w:r>
        <w:t xml:space="preserve"> · By: </w:t>
      </w:r>
      <w:r>
        <w:rPr>
          <w:b/>
          <w:bCs/>
        </w:rPr>
        <w:t>in time to structure evidence for the Aug 31, 2026 window.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the internal-rules → CR26 reconciliation and schedule the independent SCA.</w:t>
      </w:r>
      <w:r>
        <w:t xml:space="preserve"> 27 of 46 CR26 indicators are not yet bound to a rule (attested at ScuBA baseline only); the June 25, 2026 finalized-list blocker has cleared. Owner: </w:t>
      </w:r>
      <w:r>
        <w:rPr>
          <w:b/>
          <w:bCs/>
        </w:rPr>
        <w:t xml:space="preserve">OIS ConMon lead</w:t>
      </w:r>
      <w:r>
        <w:t xml:space="preserve"> · By: </w:t>
      </w:r>
      <w:r>
        <w:rPr>
          <w:b/>
          <w:bCs/>
        </w:rPr>
        <w:t xml:space="preserve">before independent SCA; no later than Aug 31, 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Decide the Volume VIII multi-cloud breadth.</w:t>
      </w:r>
      <w:r>
        <w:t xml:space="preserve"> Vol VIII spans AWS/GCP/OCI/ VMware — the one deliberate exception to the GCC-Moderate/Microsoft scope. Owner: </w:t>
      </w:r>
      <w:r>
        <w:rPr>
          <w:b/>
          <w:bCs/>
        </w:rPr>
        <w:t xml:space="preserve">CIO</w:t>
      </w:r>
      <w:r>
        <w:t xml:space="preserve"> · By: </w:t>
      </w:r>
      <w:r>
        <w:rPr>
          <w:b/>
          <w:bCs/>
        </w:rPr>
        <w:t xml:space="preserve">before committing Vol VIII beyond Azure.</w:t>
      </w:r>
    </w:p>
    <w:bookmarkEnd w:id="11"/>
    <w:bookmarkStart w:id="12" w:name="cost-of-inaction"/>
    <w:p>
      <w:pPr>
        <w:pStyle w:val="Heading2"/>
      </w:pPr>
      <w:r>
        <w:t xml:space="preserve">Cost of inaction</w:t>
      </w:r>
    </w:p>
    <w:p>
      <w:pPr>
        <w:pStyle w:val="CalloutImportant"/>
      </w:pPr>
      <w:r>
        <w:t>If the substrate is not in place before the Aug 31, 2026 window and the Jan 1, 2027 CR26 mandate: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Inherited authorizations stop reconciling.</w:t>
      </w:r>
      <w:r>
        <w:t xml:space="preserve"> Without the naming/identity/ evidence planes, the agency cannot assemble a continuous, machine-readable KSI package, and inherited-service evidence cannot be joined into one picture.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same findings recur every assessment cycle.</w:t>
      </w:r>
      <w:r>
        <w:t xml:space="preserve"> Open CM-8 (component inventory), SC-20/SC-21 (DNSSEC), and SC-8 (transport encryption) findings become standing POA&amp;M items that manual evidence assembly cannot clear under 20x.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Spend does not fix it.</w:t>
      </w:r>
      <w:r>
        <w:t xml:space="preserve"> The perimeter architecture cannot satisfy the Zero Trust controls regardless of tooling budget — the mismatch is structural, so money spent without the pattern change buys tools that measure a gap they cannot close.</w:t>
      </w:r>
    </w:p>
    <w:bookmarkEnd w:id="12"/>
    <w:bookmarkStart w:id="13" w:name="reading-paths-by-role"/>
    <w:p>
      <w:pPr>
        <w:pStyle w:val="Heading2"/>
      </w:pPr>
      <w:r>
        <w:t/>
      </w:r>
    </w:p>
    <w:p>
      <w:pPr>
        <w:pStyle w:val="Heading2"/>
      </w:pPr>
      <w:r>
        <w:t>Dollar Savings &amp; Cost Avoidance (Illustrative)</w:t>
      </w:r>
    </w:p>
    <w:p>
      <w:pPr>
        <w:pStyle w:val="Heading2"/>
      </w:pPr>
      <w:r>
        <w:t/>
      </w:r>
    </w:p>
    <w:p>
      <w:pPr>
        <w:pStyle w:val="Heading2"/>
      </w:pPr>
      <w:r>
        <w:t>The AAN substrate and modernization tracks deliver material cost avoidance and risk reduction beyond enabling compliance. These figures are conservative, order-of-magnitude estimates benchmarked against 2026 public FedRAMP Moderate authorization costs, ConMon automation studies, and Zero Trust ROI literature. They are intended for decision support, not as a formal business case.</w:t>
      </w:r>
    </w:p>
    <w:p>
      <w:pPr>
        <w:pStyle w:val="Heading2"/>
      </w:pPr>
      <w:r>
        <w:t/>
      </w:r>
    </w:p>
    <w:p>
      <w:pPr>
        <w:pStyle w:val="Heading2"/>
      </w:pPr>
      <w:r>
        <w:t>Conservative 3-Year Estimates (SSA-scale):</w:t>
      </w:r>
    </w:p>
    <w:p>
      <w:pPr>
        <w:pStyle w:val="Heading2"/>
      </w:pPr>
      <w:r>
        <w:t/>
      </w:r>
    </w:p>
    <w:p>
      <w:pPr>
        <w:pStyle w:val="Heading2"/>
      </w:pPr>
      <w:r>
        <w:t>• Avoided traditional FedRAMP assessment, remediation, and repeated evidence assembly costs: $2.5M – $6M+ (by providing reusable naming/identity/evidence planes and KSI automation instead of fragmented per-system heavy lifts for inherited Moderate services and new workloads).</w:t>
      </w:r>
    </w:p>
    <w:p>
      <w:pPr>
        <w:pStyle w:val="Heading2"/>
      </w:pPr>
      <w:r>
        <w:t/>
      </w:r>
    </w:p>
    <w:p>
      <w:pPr>
        <w:pStyle w:val="Heading2"/>
      </w:pPr>
      <w:r>
        <w:t>• Annual ConMon / continuous evidence production savings: $1.2M – $3.5M per year (60–80% reduction in manual evidence collection and package assembly effort via machine-readable KSI infrastructure; consistent with GRC automation benchmarks showing &gt;50% compliance workload reduction).</w:t>
      </w:r>
    </w:p>
    <w:p>
      <w:pPr>
        <w:pStyle w:val="Heading2"/>
      </w:pPr>
      <w:r>
        <w:t/>
      </w:r>
    </w:p>
    <w:p>
      <w:pPr>
        <w:pStyle w:val="Heading2"/>
      </w:pPr>
      <w:r>
        <w:t>• Operational efficiency gains (centralized identity/SSOT, NTLM elimination, automated provisioning and access reviews): $0.8M – $2.0M per year (reduced helpdesk volume, faster onboarding/offboarding, fewer access-related incidents and reviews).</w:t>
      </w:r>
    </w:p>
    <w:p>
      <w:pPr>
        <w:pStyle w:val="Heading2"/>
      </w:pPr>
      <w:r>
        <w:t/>
      </w:r>
    </w:p>
    <w:p>
      <w:pPr>
        <w:pStyle w:val="Heading2"/>
      </w:pPr>
      <w:r>
        <w:t>• Breach and major incident risk reduction value: $4M – $12M over 3 years (conservative attribution from micro-segmentation, continuous verification, and blast-radius reduction studies; one avoided significant incident carries outsized impact for a benefits agency).</w:t>
      </w:r>
    </w:p>
    <w:p>
      <w:pPr>
        <w:pStyle w:val="Heading2"/>
      </w:pPr>
      <w:r>
        <w:t/>
      </w:r>
    </w:p>
    <w:p>
      <w:pPr>
        <w:pStyle w:val="Heading2"/>
      </w:pPr>
      <w:r>
        <w:t>Total illustrative 3-year cost avoidance / value delivered: $10M – $25M+ (midpoint ~$17M), with ongoing annual run-rate savings of roughly $2M – $5.5M+ after the initial investment in the substrate.</w:t>
      </w:r>
    </w:p>
    <w:p>
      <w:pPr>
        <w:pStyle w:val="Heading2"/>
      </w:pPr>
      <w:r>
        <w:t/>
      </w:r>
    </w:p>
    <w:p>
      <w:pPr>
        <w:pStyle w:val="Heading2"/>
      </w:pPr>
      <w:r>
        <w:t>Key caveats: Exact realized savings depend on current SSA ConMon FTE/contractor spend, number and complexity of inherited Moderate authorizations, and actual breach probability modeling. FedRAMP 20x with strong automation is expected to have meaningfully lower per-authorization costs than traditional Rev 5 paths. These estimates assume successful implementation of the architecture described in this series.</w:t>
      </w:r>
    </w:p>
    <w:p>
      <w:pPr>
        <w:pStyle w:val="Heading2"/>
      </w:pPr>
      <w:r>
        <w:t/>
      </w:r>
    </w:p>
    <w:p>
      <w:pPr>
        <w:pStyle w:val="Heading2"/>
      </w:pPr>
      <w:r>
        <w:t>Bottom line: The investment required to stand up the AAN substrate and modernization tracks pays for itself multiple times over through avoided compliance drag, lower operational friction, and reduced risk exposure — while making the binding Jan 1, 2027 FedRAMP 20x / CR26 mandate achievable on schedule.</w:t>
      </w:r>
    </w:p>
    <w:p>
      <w:pPr>
        <w:pStyle w:val="Heading2"/>
      </w:pPr>
      <w:r>
        <w:t/>
      </w:r>
    </w:p>
    <w:p>
      <w:pPr>
        <w:pStyle w:val="Heading2"/>
      </w:pPr>
      <w:r>
        <w:t>Reading paths by role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Authorizing Official / budget:</w:t>
      </w:r>
      <w:r>
        <w:t xml:space="preserve"> this brief, then the </w:t>
      </w:r>
      <w:r>
        <w:rPr>
          <w:i/>
          <w:iCs/>
        </w:rPr>
        <w:t>Product Inventory Questionnaire</w:t>
      </w:r>
      <w:r>
        <w:t xml:space="preserve"> (Vol 0 Book 01) for product/authorization status, and the </w:t>
      </w:r>
      <w:r>
        <w:rPr>
          <w:i/>
          <w:iCs/>
        </w:rPr>
        <w:t xml:space="preserve">Residual Compliance Risk</w:t>
      </w:r>
      <w:r>
        <w:t xml:space="preserve"> section of Book 00 for the finding-level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ISSO / assessor:</w:t>
      </w:r>
      <w:r>
        <w:t xml:space="preserve"> the </w:t>
      </w:r>
      <w:r>
        <w:rPr>
          <w:i/>
          <w:iCs/>
        </w:rPr>
        <w:t xml:space="preserve">Series Control Crosswalk</w:t>
      </w:r>
      <w:r>
        <w:t xml:space="preserve"> (Vol 0 Book 02) and the generated </w:t>
      </w:r>
      <w:r>
        <w:rPr>
          <w:i/>
          <w:iCs/>
        </w:rPr>
        <w:t xml:space="preserve">Claim → Evidence → Test Matrix</w:t>
      </w:r>
      <w:r>
        <w:t xml:space="preserve"> for what is proven vs asserted, then Vol IV Book 06 (Authorization Package &amp; ConMon).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Engineer:</w:t>
      </w:r>
      <w:r>
        <w:t xml:space="preserve"> the volume overview books (</w:t>
      </w:r>
      <w:r>
        <w:rPr>
          <w:rStyle w:val="VerbatimChar"/>
        </w:rPr>
        <w:t xml:space="preserve">Vol_*_Book_00</w:t>
      </w:r>
      <w:r>
        <w:t>), then Volume VI (deploy-as-code) and the Volume VIII/IX kits shipped as source in the distribution kit.</w:t>
      </w:r>
    </w:p>
    <w:bookmarkEnd w:id="13"/>
    <w:bookmarkStart w:id="14" w:name="honest-status-line"/>
    <w:p>
      <w:pPr>
        <w:pStyle w:val="Heading2"/>
      </w:pPr>
      <w:r>
        <w:t xml:space="preserve">Honest status line</w:t>
      </w:r>
    </w:p>
    <w:p>
      <w:pPr>
        <w:pStyle w:val="FirstParagraph"/>
      </w:pPr>
      <w:r>
        <w:t xml:space="preserve">Self-assessed against the series’ internal KSI decomposition; </w:t>
      </w:r>
      <w:r>
        <w:rPr>
          <w:b/>
          <w:bCs/>
        </w:rPr>
        <w:t>CR26 indicator coverage is 19/46</w:t>
      </w:r>
      <w:r>
        <w:t xml:space="preserve"> (see the CR26 Reconciliation), the spine’s generated-and-gated closures cover </w:t>
      </w:r>
      <w:r>
        <w:rPr>
          <w:b/>
          <w:bCs/>
        </w:rPr>
        <w:t xml:space="preserve">17 of 67 books</w:t>
      </w:r>
      <w:r>
        <w:t xml:space="preserve">, and the whole package is </w:t>
      </w:r>
      <w:r>
        <w:rPr>
          <w:b/>
          <w:bCs/>
        </w:rPr>
        <w:t xml:space="preserve">pending independent SCA</w:t>
      </w:r>
      <w:r>
        <w:t xml:space="preserve">. Nothing here is an authorization result. Full detail: </w:t>
      </w:r>
      <w:r>
        <w:rPr>
          <w:b/>
          <w:bCs/>
        </w:rPr>
        <w:t xml:space="preserve">Vol 0 Book 00</w:t>
      </w:r>
      <w:r>
        <w:t xml:space="preserve"> (technical compendium).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0 Book 00a — Federal Application-Aware Networking — Executive Brief</dc:title>
  <dc:creator/>
  <cp:keywords/>
  <dcterms:created xsi:type="dcterms:W3CDTF">2026-07-15T19:03:22Z</dcterms:created>
  <dcterms:modified xsi:type="dcterms:W3CDTF">2026-07-15T19:03:22Z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 10:17 ET</vt:lpwstr>
  </property>
  <property fmtid="{D5CDD505-2E9C-101B-9397-08002B2CF9AE}" pid="3" name="subtitle">
    <vt:lpwstr>Two-page decision brief for authorizing officials, program executives, and budget decision-makers</vt:lpwstr>
  </property>
</Properties>
</file>