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5c54cb3cc7483a94492ed2c32810e66191b358"/>
    <w:p>
      <w:pPr>
        <w:pStyle w:val="Heading1"/>
      </w:pPr>
      <w:r>
        <w:t xml:space="preserve">Federal AAN / ConMon Compliance Gap Roadmap</w:t>
      </w:r>
    </w:p>
    <w:p>
      <w:pPr>
        <w:pStyle w:val="FirstParagraph"/>
      </w:pPr>
      <w:r>
        <w:rPr>
          <w:b/>
          <w:bCs/>
        </w:rPr>
        <w:t xml:space="preserve">As of July 7, 2026 — Internal UIAO Working Document</w:t>
      </w:r>
    </w:p>
    <w:p>
      <w:pPr>
        <w:pStyle w:val="BodyText"/>
      </w:pPr>
      <w:r>
        <w:rPr>
          <w:b/>
          <w:bCs/>
        </w:rPr>
        <w:t xml:space="preserve">Date Code:</w:t>
      </w:r>
      <w:r>
        <w:t xml:space="preserve"> </w:t>
      </w:r>
      <w:r>
        <w:t xml:space="preserve">2026-07-07 15:18 ET</w:t>
      </w:r>
    </w:p>
    <w:p>
      <w:r>
        <w:pict>
          <v:rect style="width:0;height:1.5pt" o:hralign="center" o:hrstd="t" o:hr="t"/>
        </w:pict>
      </w:r>
    </w:p>
    <w:bookmarkStart w:id="9" w:name="executive-finding"/>
    <w:p>
      <w:pPr>
        <w:pStyle w:val="Heading2"/>
      </w:pPr>
      <w:r>
        <w:t xml:space="preserve">Executive Finding</w:t>
      </w:r>
    </w:p>
    <w:p>
      <w:pPr>
        <w:pStyle w:val="FirstParagraph"/>
      </w:pPr>
      <w:r>
        <w:t xml:space="preserve">The Federal Application-Aware Networking (AAN) series (Parts 1–19, all delivered</w:t>
      </w:r>
      <w:r>
        <w:t xml:space="preserve"> </w:t>
      </w:r>
      <w:r>
        <w:t xml:space="preserve">as of July 5, 2026) provides the</w:t>
      </w:r>
      <w:r>
        <w:t xml:space="preserve"> </w:t>
      </w:r>
      <w:r>
        <w:rPr>
          <w:b/>
          <w:bCs/>
        </w:rPr>
        <w:t xml:space="preserve">complete evidence and authorization-package</w:t>
      </w:r>
      <w:r>
        <w:rPr>
          <w:b/>
          <w:bCs/>
        </w:rP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for the agency’s RMF authorization, with continuous-monitoring evidence</w:t>
      </w:r>
      <w:r>
        <w:t xml:space="preserve"> </w:t>
      </w:r>
      <w:r>
        <w:t xml:space="preserve">modeled on the FedRAMP 20x KSI schema. The Conformance Adapter / OSCAL Emitter</w:t>
      </w:r>
      <w:r>
        <w:t xml:space="preserve"> </w:t>
      </w:r>
      <w:r>
        <w:t xml:space="preserve">framework provides the</w:t>
      </w:r>
      <w:r>
        <w:t xml:space="preserve"> </w:t>
      </w:r>
      <w:r>
        <w:rPr>
          <w:b/>
          <w:bCs/>
        </w:rPr>
        <w:t xml:space="preserve">evidence governance layer</w:t>
      </w:r>
      <w:r>
        <w:t xml:space="preserve"> </w:t>
      </w:r>
      <w:r>
        <w:t xml:space="preserve">— tracking which evidence</w:t>
      </w:r>
      <w:r>
        <w:t xml:space="preserve"> </w:t>
      </w:r>
      <w:r>
        <w:t xml:space="preserve">closes which control, generating machine-readable KSI packages, and feeding the</w:t>
      </w:r>
      <w:r>
        <w:t xml:space="preserve"> </w:t>
      </w:r>
      <w:r>
        <w:t xml:space="preserve">automated ConMon gate.</w:t>
      </w:r>
    </w:p>
    <w:p>
      <w:pPr>
        <w:pStyle w:val="BodyText"/>
      </w:pPr>
      <w:r>
        <w:t xml:space="preserve">The OSCAL AP+AR+POAM bundle is fully generated by</w:t>
      </w:r>
      <w:r>
        <w:t xml:space="preserve"> </w:t>
      </w:r>
      <w:r>
        <w:rPr>
          <w:rStyle w:val="VerbatimChar"/>
        </w:rPr>
        <w:t xml:space="preserve">uiao oscal bundle</w:t>
      </w:r>
      <w:r>
        <w:t xml:space="preserve">.</w:t>
      </w:r>
      <w:r>
        <w:t xml:space="preserve"> </w:t>
      </w:r>
      <w:r>
        <w:t xml:space="preserve">The evaluation engine is wired for</w:t>
      </w:r>
      <w:r>
        <w:t xml:space="preserve"> </w:t>
      </w:r>
      <w:r>
        <w:rPr>
          <w:b/>
          <w:bCs/>
        </w:rPr>
        <w:t xml:space="preserve">all 29 rules in the series’ internal KSI</w:t>
      </w:r>
      <w:r>
        <w:rPr>
          <w:b/>
          <w:bCs/>
        </w:rPr>
        <w:t xml:space="preserve"> </w:t>
      </w:r>
      <w:r>
        <w:rPr>
          <w:b/>
          <w:bCs/>
        </w:rPr>
        <w:t xml:space="preserve">decomposition</w:t>
      </w:r>
      <w:r>
        <w:t xml:space="preserve"> </w:t>
      </w:r>
      <w:r>
        <w:t xml:space="preserve">— zero scaffold rules remain. Part 18 (Book_18) delivered the AT</w:t>
      </w:r>
      <w:r>
        <w:t xml:space="preserve"> </w:t>
      </w:r>
      <w:r>
        <w:t xml:space="preserve">family training evidence and closed KSI-022 (KSI-CED-RAT). Part 19 (Book_19)</w:t>
      </w:r>
      <w:r>
        <w:t xml:space="preserve"> </w:t>
      </w:r>
      <w:r>
        <w:t xml:space="preserve">assembled the authorization package — OSCAL bundle (29/29 rules in scope</w:t>
      </w:r>
      <w:r>
        <w:t xml:space="preserve"> </w:t>
      </w:r>
      <w:r>
        <w:t xml:space="preserve">self-assessed satisfied, 0 open</w:t>
      </w:r>
      <w:r>
        <w:t xml:space="preserve"> </w:t>
      </w:r>
      <w:r>
        <w:rPr>
          <w:b/>
          <w:bCs/>
        </w:rPr>
        <w:t xml:space="preserve">in the series’ internal KSI decomposition</w:t>
      </w:r>
      <w:r>
        <w:t xml:space="preserve">, 0 POA&amp;M</w:t>
      </w:r>
      <w:r>
        <w:t xml:space="preserve"> </w:t>
      </w:r>
      <w:r>
        <w:t xml:space="preserve">items — expected non-empty once mapped to CR26 and assessed), BOD 26-04 VDR/VER</w:t>
      </w:r>
      <w:r>
        <w:t xml:space="preserve"> </w:t>
      </w:r>
      <w:r>
        <w:t xml:space="preserve">submission procedure, and CA-7 ConMon program. All rules in scope are</w:t>
      </w:r>
      <w:r>
        <w:t xml:space="preserve"> </w:t>
      </w:r>
      <w:r>
        <w:t xml:space="preserve">self-assessed satisfied against the series’ internal KSI decomposition (not the finalized</w:t>
      </w:r>
      <w:r>
        <w:t xml:space="preserve"> </w:t>
      </w:r>
      <w:r>
        <w:t xml:space="preserve">CR26 Moderate catalog) pending independent security control assessment (SCA).</w:t>
      </w:r>
      <w:r>
        <w:t xml:space="preserve"> </w:t>
      </w:r>
      <w:r>
        <w:rPr>
          <w:b/>
          <w:bCs/>
        </w:rPr>
        <w:t xml:space="preserve">The series</w:t>
      </w:r>
      <w:r>
        <w:rPr>
          <w:b/>
          <w:bCs/>
        </w:rPr>
        <w:t xml:space="preserve"> </w:t>
      </w:r>
      <w:r>
        <w:rPr>
          <w:b/>
          <w:bCs/>
        </w:rPr>
        <w:t xml:space="preserve">is complete and the authorization package is assembled for the SSA Authorizing</w:t>
      </w:r>
      <w:r>
        <w:rPr>
          <w:b/>
          <w:bCs/>
        </w:rPr>
        <w:t xml:space="preserve"> </w:t>
      </w:r>
      <w:r>
        <w:rPr>
          <w:b/>
          <w:bCs/>
        </w:rPr>
        <w:t xml:space="preserve">Official’s review.</w:t>
      </w:r>
    </w:p>
    <w:p>
      <w:pPr>
        <w:pStyle w:val="BlockText"/>
      </w:pPr>
      <w:r>
        <w:rPr>
          <w:b/>
          <w:bCs/>
        </w:rPr>
        <w:t xml:space="preserve">Framing note (added 2026-07-08).</w:t>
      </w:r>
      <w:r>
        <w:t xml:space="preserve"> </w:t>
      </w:r>
      <w:r>
        <w:t xml:space="preserve">SSA is a</w:t>
      </w:r>
      <w:r>
        <w:t xml:space="preserve"> </w:t>
      </w:r>
      <w:r>
        <w:rPr>
          <w:i/>
          <w:iCs/>
        </w:rPr>
        <w:t xml:space="preserve">consuming agency</w:t>
      </w:r>
      <w:r>
        <w:t xml:space="preserve"> </w:t>
      </w:r>
      <w:r>
        <w:t xml:space="preserve">securing its</w:t>
      </w:r>
      <w:r>
        <w:t xml:space="preserve"> </w:t>
      </w:r>
      <w:r>
        <w:t xml:space="preserve">own GCC Moderate enterprise — it is not a cloud service provider seeking a</w:t>
      </w:r>
      <w:r>
        <w:t xml:space="preserve"> </w:t>
      </w:r>
      <w:r>
        <w:t xml:space="preserve">FedRAMP authorization. The artifact this roadmap builds toward is an</w:t>
      </w:r>
      <w:r>
        <w:t xml:space="preserve"> </w:t>
      </w:r>
      <w:r>
        <w:rPr>
          <w:b/>
          <w:bCs/>
        </w:rPr>
        <w:t xml:space="preserve">agency</w:t>
      </w:r>
      <w:r>
        <w:rPr>
          <w:b/>
          <w:bCs/>
        </w:rPr>
        <w:t xml:space="preserve"> </w:t>
      </w:r>
      <w:r>
        <w:rPr>
          <w:b/>
          <w:bCs/>
        </w:rPr>
        <w:t xml:space="preserve">RMF/FISMA ATO (NIST SP 800-37)</w:t>
      </w:r>
      <w:r>
        <w:t xml:space="preserve"> </w:t>
      </w:r>
      <w:r>
        <w:t xml:space="preserve">issued by the SSA Authorizing Official, with</w:t>
      </w:r>
      <w:r>
        <w:t xml:space="preserve"> </w:t>
      </w:r>
      <w:r>
        <w:t xml:space="preserve">the FedRAMP-authorized cloud services SSA consumes (M365 GCC, AWS GovCloud,</w:t>
      </w:r>
      <w:r>
        <w:t xml:space="preserve"> </w:t>
      </w:r>
      <w:r>
        <w:t xml:space="preserve">DDI SaaS) inherited as leveraged authorizations. The FedRAMP 20x KSI schema</w:t>
      </w:r>
      <w:r>
        <w:t xml:space="preserve"> </w:t>
      </w:r>
      <w:r>
        <w:t xml:space="preserve">is used as the</w:t>
      </w:r>
      <w:r>
        <w:t xml:space="preserve"> </w:t>
      </w:r>
      <w:r>
        <w:rPr>
          <w:i/>
          <w:iCs/>
        </w:rPr>
        <w:t xml:space="preserve">ConMon evidence idiom</w:t>
      </w:r>
      <w:r>
        <w:t xml:space="preserve"> </w:t>
      </w:r>
      <w:r>
        <w:t xml:space="preserve">— it future-proofs the evidence layer</w:t>
      </w:r>
      <w:r>
        <w:t xml:space="preserve"> </w:t>
      </w:r>
      <w:r>
        <w:t xml:space="preserve">against M-24-15 ConMon expectations, CDM, FISMA CIO metrics, and OSCAL</w:t>
      </w:r>
      <w:r>
        <w:t xml:space="preserve"> </w:t>
      </w:r>
      <w:r>
        <w:t xml:space="preserve">mandates, all of which do bind agencies — but nothing here is submitted to</w:t>
      </w:r>
      <w:r>
        <w:t xml:space="preserve"> </w:t>
      </w:r>
      <w:r>
        <w:t xml:space="preserve">the FedRAMP PMO. If any in-scope system is later offered as a shared service</w:t>
      </w:r>
      <w:r>
        <w:t xml:space="preserve"> </w:t>
      </w:r>
      <w:r>
        <w:t xml:space="preserve">to other agencies, that system becomes a CSO and enters the 20x pipeline in</w:t>
      </w:r>
      <w:r>
        <w:t xml:space="preserve"> </w:t>
      </w:r>
      <w:r>
        <w:t xml:space="preserve">its own right; split it out explicitly at that point rather than letting the</w:t>
      </w:r>
      <w:r>
        <w:t xml:space="preserve"> </w:t>
      </w:r>
      <w:r>
        <w:t xml:space="preserve">CSO framing color the enterprise corpus.</w:t>
      </w:r>
    </w:p>
    <w:p>
      <w:pPr>
        <w:pStyle w:val="BlockText"/>
      </w:pPr>
      <w:r>
        <w:rPr>
          <w:b/>
          <w:bCs/>
        </w:rPr>
        <w:t xml:space="preserve">KSI-count reconciliation (initial diff published).</w:t>
      </w:r>
      <w:r>
        <w:t xml:space="preserve"> </w:t>
      </w:r>
      <w:r>
        <w:t xml:space="preserve">The</w:t>
      </w:r>
      <w:r>
        <w:t xml:space="preserve"> </w:t>
      </w:r>
      <w:r>
        <w:t xml:space="preserve">“29 KSI rules”</w:t>
      </w:r>
      <w:r>
        <w:t xml:space="preserve"> </w:t>
      </w:r>
      <w:r>
        <w:t xml:space="preserve">throughout this document are the series’ internal KSI decomposition, not the published</w:t>
      </w:r>
      <w:r>
        <w:t xml:space="preserve"> </w:t>
      </w:r>
      <w:r>
        <w:t xml:space="preserve">CR26 Moderate KSI catalog. The rule-ID-by-rule-ID diff against the in-repo CR26</w:t>
      </w:r>
      <w:r>
        <w:t xml:space="preserve"> </w:t>
      </w:r>
      <w:r>
        <w:t xml:space="preserve">OSCAL catalog now exists — see</w:t>
      </w:r>
      <w:r>
        <w:t xml:space="preserve"> </w:t>
      </w:r>
      <w:r>
        <w:rPr>
          <w:rStyle w:val="VerbatimChar"/>
        </w:rPr>
        <w:t xml:space="preserve">AAN_CR26_Reconciliation.md</w:t>
      </w:r>
      <w:r>
        <w:t xml:space="preserve">. It finds</w:t>
      </w:r>
      <w:r>
        <w:t xml:space="preserve"> </w:t>
      </w:r>
      <w:r>
        <w:rPr>
          <w:b/>
          <w:bCs/>
        </w:rPr>
        <w:t xml:space="preserve">19 of</w:t>
      </w:r>
      <w:r>
        <w:rPr>
          <w:b/>
          <w:bCs/>
        </w:rPr>
        <w:t xml:space="preserve"> </w:t>
      </w:r>
      <w:r>
        <w:rPr>
          <w:b/>
          <w:bCs/>
        </w:rPr>
        <w:t xml:space="preserve">46</w:t>
      </w:r>
      <w:r>
        <w:t xml:space="preserve"> </w:t>
      </w:r>
      <w:r>
        <w:t xml:space="preserve">CR26 indicators explicitly mapped 1:1 to an internal rule (six themes</w:t>
      </w:r>
      <w:r>
        <w:t xml:space="preserve"> </w:t>
      </w:r>
      <w:r>
        <w:t xml:space="preserve">fully covered) and</w:t>
      </w:r>
      <w:r>
        <w:t xml:space="preserve"> </w:t>
      </w:r>
      <w:r>
        <w:rPr>
          <w:b/>
          <w:bCs/>
        </w:rPr>
        <w:t xml:space="preserve">27 not yet bound to an indicator ID</w:t>
      </w:r>
      <w:r>
        <w:t xml:space="preserve"> </w:t>
      </w:r>
      <w:r>
        <w:t xml:space="preserve">(IAM/CNA/SVC/MLA,</w:t>
      </w:r>
      <w:r>
        <w:t xml:space="preserve"> </w:t>
      </w:r>
      <w:r>
        <w:t xml:space="preserve">attested at the ScuBA baseline level only). So</w:t>
      </w:r>
      <w:r>
        <w:t xml:space="preserve"> </w:t>
      </w:r>
      <w:r>
        <w:t xml:space="preserve">“29/29 satisfied”</w:t>
      </w:r>
      <w:r>
        <w:t xml:space="preserve"> </w:t>
      </w:r>
      <w:r>
        <w:t xml:space="preserve">is a claim</w:t>
      </w:r>
      <w:r>
        <w:t xml:space="preserve"> </w:t>
      </w:r>
      <w:r>
        <w:t xml:space="preserve">about the internal rule set; CR26 indicator-level coverage is 19/46 explicitly</w:t>
      </w:r>
      <w:r>
        <w:t xml:space="preserve"> </w:t>
      </w:r>
      <w:r>
        <w:t xml:space="preserve">mapped pending reconciliation to the finalized CR26 Moderate list (June 25,</w:t>
      </w:r>
      <w:r>
        <w:t xml:space="preserve"> </w:t>
      </w:r>
      <w:r>
        <w:t xml:space="preserve">2026) and independent SCA.</w:t>
      </w:r>
    </w:p>
    <w:p>
      <w:r>
        <w:pict>
          <v:rect style="width:0;height:1.5pt" o:hralign="center" o:hrstd="t" o:hr="t"/>
        </w:pict>
      </w:r>
    </w:p>
    <w:bookmarkEnd w:id="9"/>
    <w:bookmarkStart w:id="14" w:name="Xa24d59ace16dcaeb78ad935606038d54785a5ad"/>
    <w:p>
      <w:pPr>
        <w:pStyle w:val="Heading2"/>
      </w:pPr>
      <w:r>
        <w:t xml:space="preserve">Federal Compliance Timeline — All Mandates Touching NIST Control Families</w:t>
      </w:r>
    </w:p>
    <w:p>
      <w:pPr>
        <w:pStyle w:val="FirstParagraph"/>
      </w:pPr>
      <w:r>
        <w:rPr>
          <w:i/>
          <w:iCs/>
        </w:rPr>
        <w:t xml:space="preserve">Researched and verified 2026-07-07 against fedramp.gov, cisa.gov, csrc.nist.gov,</w:t>
      </w:r>
      <w:r>
        <w:rPr>
          <w:i/>
          <w:iCs/>
        </w:rPr>
        <w:t xml:space="preserve"> </w:t>
      </w:r>
      <w:r>
        <w:rPr>
          <w:i/>
          <w:iCs/>
        </w:rPr>
        <w:t xml:space="preserve">whitehouse.gov, and NSA CNSA 2.0 guidance. This section is the series’ single</w:t>
      </w:r>
      <w:r>
        <w:rPr>
          <w:i/>
          <w:iCs/>
        </w:rPr>
        <w:t xml:space="preserve"> </w:t>
      </w:r>
      <w:r>
        <w:rPr>
          <w:i/>
          <w:iCs/>
        </w:rPr>
        <w:t xml:space="preserve">source of truth for federal dates; the Books cite subsets of it.</w:t>
      </w:r>
    </w:p>
    <w:bookmarkStart w:id="10" w:name="already-in-force-the-elapsed-baseline"/>
    <w:p>
      <w:pPr>
        <w:pStyle w:val="Heading3"/>
      </w:pPr>
      <w:r>
        <w:t xml:space="preserve">Already in force — the elapsed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0"/>
        <w:gridCol w:w="1063"/>
        <w:gridCol w:w="2127"/>
        <w:gridCol w:w="1773"/>
        <w:gridCol w:w="16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Effective</w:t>
            </w:r>
          </w:p>
        </w:tc>
        <w:tc>
          <w:tcPr/>
          <w:p>
            <w:pPr>
              <w:pStyle w:val="Compact"/>
            </w:pPr>
            <w:r>
              <w:t xml:space="preserve">Mandate</w:t>
            </w:r>
          </w:p>
        </w:tc>
        <w:tc>
          <w:tcPr/>
          <w:p>
            <w:pPr>
              <w:pStyle w:val="Compact"/>
            </w:pPr>
            <w:r>
              <w:t xml:space="preserve">What it requires</w:t>
            </w:r>
          </w:p>
        </w:tc>
        <w:tc>
          <w:tcPr/>
          <w:p>
            <w:pPr>
              <w:pStyle w:val="Compact"/>
            </w:pPr>
            <w:r>
              <w:t xml:space="preserve">NIST families</w:t>
            </w:r>
          </w:p>
        </w:tc>
        <w:tc>
          <w:tcPr/>
          <w:p>
            <w:pPr>
              <w:pStyle w:val="Compact"/>
            </w:pPr>
            <w:r>
              <w:t xml:space="preserve">AAN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16, 2020 / Jan 6, 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Kari’s Law / RAY BAUM’S Act §506</w:t>
            </w:r>
          </w:p>
        </w:tc>
        <w:tc>
          <w:tcPr/>
          <w:p>
            <w:pPr>
              <w:pStyle w:val="Compact"/>
            </w:pPr>
            <w:r>
              <w:t xml:space="preserve">Direct 911 dialing; dispatchable location for MLTS incl. non-fixed devices</w:t>
            </w:r>
          </w:p>
        </w:tc>
        <w:tc>
          <w:tcPr/>
          <w:p>
            <w:pPr>
              <w:pStyle w:val="Compact"/>
            </w:pPr>
            <w:r>
              <w:t xml:space="preserve">(telecom; PE/SC-adjacent)</w:t>
            </w:r>
          </w:p>
        </w:tc>
        <w:tc>
          <w:tcPr/>
          <w:p>
            <w:pPr>
              <w:pStyle w:val="Compact"/>
            </w:pPr>
            <w:r>
              <w:t xml:space="preserve">Part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 23, 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800-53 Rev 5</w:t>
            </w:r>
            <w:r>
              <w:t xml:space="preserve"> </w:t>
            </w:r>
            <w:r>
              <w:t xml:space="preserve">(Rev 4 withdrawn)</w:t>
            </w:r>
          </w:p>
        </w:tc>
        <w:tc>
          <w:tcPr/>
          <w:p>
            <w:pPr>
              <w:pStyle w:val="Compact"/>
            </w:pPr>
            <w:r>
              <w:t xml:space="preserve">Current control catalog; FedRAMP Moderate baseline drawn from it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Series-wide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12, 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 14028</w:t>
            </w:r>
          </w:p>
        </w:tc>
        <w:tc>
          <w:tcPr/>
          <w:p>
            <w:pPr>
              <w:pStyle w:val="Compact"/>
            </w:pPr>
            <w:r>
              <w:t xml:space="preserve">Zero Trust direction, SBOM, logging, incident sharing</w:t>
            </w:r>
          </w:p>
        </w:tc>
        <w:tc>
          <w:tcPr/>
          <w:p>
            <w:pPr>
              <w:pStyle w:val="Compact"/>
            </w:pPr>
            <w:r>
              <w:t xml:space="preserve">Umbrella</w:t>
            </w:r>
          </w:p>
        </w:tc>
        <w:tc>
          <w:tcPr/>
          <w:p>
            <w:pPr>
              <w:pStyle w:val="Compact"/>
            </w:pPr>
            <w:r>
              <w:t xml:space="preserve">Series-wide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2022 → Aug 2023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OMB M-21-31</w:t>
            </w:r>
            <w:r>
              <w:t xml:space="preserve"> </w:t>
            </w:r>
            <w:r>
              <w:t xml:space="preserve">(event logging)</w:t>
            </w:r>
          </w:p>
        </w:tc>
        <w:tc>
          <w:tcPr/>
          <w:p>
            <w:pPr>
              <w:pStyle w:val="Compact"/>
            </w:pPr>
            <w:r>
              <w:t xml:space="preserve">EL1 by Aug 2022, EL2 by Feb 2023, EL3 (full) by Aug 2023</w:t>
            </w:r>
          </w:p>
        </w:tc>
        <w:tc>
          <w:tcPr/>
          <w:p>
            <w:pPr>
              <w:pStyle w:val="Compact"/>
            </w:pPr>
            <w:r>
              <w:t xml:space="preserve">AU-2, AU-6, AU-11, AU-12</w:t>
            </w:r>
          </w:p>
        </w:tc>
        <w:tc>
          <w:tcPr/>
          <w:p>
            <w:pPr>
              <w:pStyle w:val="Compact"/>
            </w:pPr>
            <w:r>
              <w:t xml:space="preserve">Parts 13,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FY2023 → FY2025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OMB M-21-07</w:t>
            </w:r>
            <w:r>
              <w:t xml:space="preserve"> </w:t>
            </w:r>
            <w:r>
              <w:t xml:space="preserve">(IPv6)</w:t>
            </w:r>
          </w:p>
        </w:tc>
        <w:tc>
          <w:tcPr/>
          <w:p>
            <w:pPr>
              <w:pStyle w:val="Compact"/>
            </w:pPr>
            <w:r>
              <w:t xml:space="preserve">20% IPv6-only FY2023 → 50% FY2024 → 80% FY2025</w:t>
            </w:r>
          </w:p>
        </w:tc>
        <w:tc>
          <w:tcPr/>
          <w:p>
            <w:pPr>
              <w:pStyle w:val="Compact"/>
            </w:pPr>
            <w:r>
              <w:t xml:space="preserve">CM-8, SC family</w:t>
            </w:r>
          </w:p>
        </w:tc>
        <w:tc>
          <w:tcPr/>
          <w:p>
            <w:pPr>
              <w:pStyle w:val="Compact"/>
            </w:pPr>
            <w:r>
              <w:t xml:space="preserve">Part 1 (IPAM)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18-01</w:t>
            </w:r>
          </w:p>
        </w:tc>
        <w:tc>
          <w:tcPr/>
          <w:p>
            <w:pPr>
              <w:pStyle w:val="Compact"/>
            </w:pPr>
            <w:r>
              <w:t xml:space="preserve">DMARC p=reject; HTTPS everywhere</w:t>
            </w:r>
          </w:p>
        </w:tc>
        <w:tc>
          <w:tcPr/>
          <w:p>
            <w:pPr>
              <w:pStyle w:val="Compact"/>
            </w:pPr>
            <w:r>
              <w:t xml:space="preserve">SC-8; email auth (DNS)</w:t>
            </w:r>
          </w:p>
        </w:tc>
        <w:tc>
          <w:tcPr/>
          <w:p>
            <w:pPr>
              <w:pStyle w:val="Compact"/>
            </w:pPr>
            <w:r>
              <w:t xml:space="preserve">Part 1 (DNS records)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 3, 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22-01</w:t>
            </w:r>
            <w:r>
              <w:t xml:space="preserve"> </w:t>
            </w:r>
            <w:r>
              <w:t xml:space="preserve">(KEV)</w:t>
            </w:r>
          </w:p>
        </w:tc>
        <w:tc>
          <w:tcPr/>
          <w:p>
            <w:pPr>
              <w:pStyle w:val="Compact"/>
            </w:pPr>
            <w:r>
              <w:t xml:space="preserve">Remediate Known Exploited Vulnerabilities on CISA timelines</w:t>
            </w:r>
          </w:p>
        </w:tc>
        <w:tc>
          <w:tcPr/>
          <w:p>
            <w:pPr>
              <w:pStyle w:val="Compact"/>
            </w:pPr>
            <w:r>
              <w:t xml:space="preserve">RA-5, SI-2</w:t>
            </w:r>
          </w:p>
        </w:tc>
        <w:tc>
          <w:tcPr/>
          <w:p>
            <w:pPr>
              <w:pStyle w:val="Compact"/>
            </w:pPr>
            <w:r>
              <w:t xml:space="preserve">Part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3, 2023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23-01</w:t>
            </w:r>
          </w:p>
        </w:tc>
        <w:tc>
          <w:tcPr/>
          <w:p>
            <w:pPr>
              <w:pStyle w:val="Compact"/>
            </w:pPr>
            <w:r>
              <w:t xml:space="preserve">Asset visibility + vulnerability enumeration reporting</w:t>
            </w:r>
          </w:p>
        </w:tc>
        <w:tc>
          <w:tcPr/>
          <w:p>
            <w:pPr>
              <w:pStyle w:val="Compact"/>
            </w:pPr>
            <w:r>
              <w:t xml:space="preserve">CM-8, RA-5</w:t>
            </w:r>
          </w:p>
        </w:tc>
        <w:tc>
          <w:tcPr/>
          <w:p>
            <w:pPr>
              <w:pStyle w:val="Compact"/>
            </w:pPr>
            <w:r>
              <w:t xml:space="preserve">Parts 1, 2,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13, 2023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23-02</w:t>
            </w:r>
          </w:p>
        </w:tc>
        <w:tc>
          <w:tcPr/>
          <w:p>
            <w:pPr>
              <w:pStyle w:val="Compact"/>
            </w:pPr>
            <w:r>
              <w:t xml:space="preserve">Networked management interfaces removed from the public internet or protected by ZTA capability — within 14 days of identification, ongoing</w:t>
            </w:r>
          </w:p>
        </w:tc>
        <w:tc>
          <w:tcPr/>
          <w:p>
            <w:pPr>
              <w:pStyle w:val="Compact"/>
            </w:pPr>
            <w:r>
              <w:t xml:space="preserve">AC-17, CM-7, SC-7</w:t>
            </w:r>
          </w:p>
        </w:tc>
        <w:tc>
          <w:tcPr/>
          <w:p>
            <w:pPr>
              <w:pStyle w:val="Compact"/>
            </w:pPr>
            <w:r>
              <w:t xml:space="preserve">Parts 5, 10 (PAW/ZTNA)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(FY cycle)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FISMA CIO Metrics</w:t>
            </w:r>
          </w:p>
        </w:tc>
        <w:tc>
          <w:tcPr/>
          <w:p>
            <w:pPr>
              <w:pStyle w:val="Compact"/>
            </w:pPr>
            <w:r>
              <w:t xml:space="preserve">Quarterly + annual CyberScope reporting against the CIO metrics; FY26 cycle measures ZT maturity, logging, MFA, and asset coverage</w:t>
            </w:r>
          </w:p>
        </w:tc>
        <w:tc>
          <w:tcPr/>
          <w:p>
            <w:pPr>
              <w:pStyle w:val="Compact"/>
            </w:pPr>
            <w:r>
              <w:t xml:space="preserve">PM, CA families</w:t>
            </w:r>
          </w:p>
        </w:tc>
        <w:tc>
          <w:tcPr/>
          <w:p>
            <w:pPr>
              <w:pStyle w:val="Compact"/>
            </w:pPr>
            <w:r>
              <w:t xml:space="preserve">Book 19 ConMon feeds; measured-lifecycle metrics (Part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 30, 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OMB M-22-09</w:t>
            </w:r>
            <w:r>
              <w:t xml:space="preserve"> </w:t>
            </w:r>
            <w:r>
              <w:t xml:space="preserve">(Zero Trust)</w:t>
            </w:r>
          </w:p>
        </w:tc>
        <w:tc>
          <w:tcPr/>
          <w:p>
            <w:pPr>
              <w:pStyle w:val="Compact"/>
            </w:pPr>
            <w:r>
              <w:t xml:space="preserve">Phishing-resistant MFA, app-layer enforcement — goals due end FY2024;</w:t>
            </w:r>
            <w:r>
              <w:t xml:space="preserve"> </w:t>
            </w:r>
            <w:r>
              <w:rPr>
                <w:b/>
                <w:bCs/>
              </w:rPr>
              <w:t xml:space="preserve">not superseded</w:t>
            </w:r>
            <w:r>
              <w:t xml:space="preserve">: M-24-14 (Jul 2024) + M-25-04 (Jan 2025) continue maturation; FISMA/CDM still measure progress</w:t>
            </w:r>
          </w:p>
        </w:tc>
        <w:tc>
          <w:tcPr/>
          <w:p>
            <w:pPr>
              <w:pStyle w:val="Compact"/>
            </w:pPr>
            <w:r>
              <w:t xml:space="preserve">IA-2(1)/(2), AC-4, SI-4</w:t>
            </w:r>
          </w:p>
        </w:tc>
        <w:tc>
          <w:tcPr/>
          <w:p>
            <w:pPr>
              <w:pStyle w:val="Compact"/>
            </w:pPr>
            <w:r>
              <w:t xml:space="preserve">Parts 3,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 18, 2022 → 2035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OMB M-23-02</w:t>
            </w:r>
            <w:r>
              <w:t xml:space="preserve"> </w:t>
            </w:r>
            <w:r>
              <w:t xml:space="preserve">(PQC)</w:t>
            </w:r>
          </w:p>
        </w:tc>
        <w:tc>
          <w:tcPr/>
          <w:p>
            <w:pPr>
              <w:pStyle w:val="Compact"/>
            </w:pPr>
            <w:r>
              <w:t xml:space="preserve">Annual cryptographic inventories through 2035; migration leads; funding assessments</w:t>
            </w:r>
          </w:p>
        </w:tc>
        <w:tc>
          <w:tcPr/>
          <w:p>
            <w:pPr>
              <w:pStyle w:val="Compact"/>
            </w:pPr>
            <w:r>
              <w:t xml:space="preserve">SC-12, SC-13</w:t>
            </w:r>
          </w:p>
        </w:tc>
        <w:tc>
          <w:tcPr/>
          <w:p>
            <w:pPr>
              <w:pStyle w:val="Compact"/>
            </w:pPr>
            <w:r>
              <w:t xml:space="preserve">Parts 3,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13, 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FIPS 203/204/205</w:t>
            </w:r>
          </w:p>
        </w:tc>
        <w:tc>
          <w:tcPr/>
          <w:p>
            <w:pPr>
              <w:pStyle w:val="Compact"/>
            </w:pPr>
            <w:r>
              <w:t xml:space="preserve">PQC algorithms standardized (ML-KEM, ML-DSA, SLH-DSA)</w:t>
            </w:r>
          </w:p>
        </w:tc>
        <w:tc>
          <w:tcPr/>
          <w:p>
            <w:pPr>
              <w:pStyle w:val="Compact"/>
            </w:pPr>
            <w:r>
              <w:t xml:space="preserve">SC-13</w:t>
            </w:r>
          </w:p>
        </w:tc>
        <w:tc>
          <w:tcPr/>
          <w:p>
            <w:pPr>
              <w:pStyle w:val="Compact"/>
            </w:pPr>
            <w:r>
              <w:t xml:space="preserve">Parts 3,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20,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25-01</w:t>
            </w:r>
            <w:r>
              <w:t xml:space="preserve"> </w:t>
            </w:r>
            <w:r>
              <w:t xml:space="preserve">(SCuBA)</w:t>
            </w:r>
          </w:p>
        </w:tc>
        <w:tc>
          <w:tcPr/>
          <w:p>
            <w:pPr>
              <w:pStyle w:val="Compact"/>
            </w:pPr>
            <w:r>
              <w:t xml:space="preserve">Tenants inventoried Feb 21, 2025 → tools deployed Apr 25, 2025 → all mandatory policies Jun 20, 2025</w:t>
            </w:r>
          </w:p>
        </w:tc>
        <w:tc>
          <w:tcPr/>
          <w:p>
            <w:pPr>
              <w:pStyle w:val="Compact"/>
            </w:pPr>
            <w:r>
              <w:t xml:space="preserve">CM-2/6, AC, IA (M365)</w:t>
            </w:r>
          </w:p>
        </w:tc>
        <w:tc>
          <w:tcPr/>
          <w:p>
            <w:pPr>
              <w:pStyle w:val="Compact"/>
            </w:pPr>
            <w:r>
              <w:t xml:space="preserve">KSI-001..010; ScubaDrift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27,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NIST SP 800-53 Release 5.2.0</w:t>
            </w:r>
          </w:p>
        </w:tc>
        <w:tc>
          <w:tcPr/>
          <w:p>
            <w:pPr>
              <w:pStyle w:val="Compact"/>
            </w:pPr>
            <w:r>
              <w:t xml:space="preserve">New controls</w:t>
            </w:r>
            <w:r>
              <w:t xml:space="preserve"> </w:t>
            </w:r>
            <w:r>
              <w:rPr>
                <w:b/>
                <w:bCs/>
              </w:rPr>
              <w:t xml:space="preserve">SA-15(13), SA-24, SI-2(7)</w:t>
            </w:r>
            <w:r>
              <w:t xml:space="preserve"> </w:t>
            </w:r>
            <w:r>
              <w:t xml:space="preserve">+ SA/SI discussion updates (EO 14306 patch security)</w:t>
            </w:r>
          </w:p>
        </w:tc>
        <w:tc>
          <w:tcPr/>
          <w:p>
            <w:pPr>
              <w:pStyle w:val="Compact"/>
            </w:pPr>
            <w:r>
              <w:t xml:space="preserve">SA, SI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  <w:r>
              <w:t xml:space="preserve"> </w:t>
            </w:r>
            <w:r>
              <w:rPr>
                <w:b/>
                <w:bCs/>
              </w:rPr>
              <w:t xml:space="preserve">Gap — see callout below</w:t>
            </w:r>
          </w:p>
        </w:tc>
      </w:tr>
    </w:tbl>
    <w:bookmarkEnd w:id="10"/>
    <w:bookmarkStart w:id="11" w:name="fy2026-the-active-window"/>
    <w:p>
      <w:pPr>
        <w:pStyle w:val="Heading3"/>
      </w:pPr>
      <w:r>
        <w:t xml:space="preserve">FY2026 — the active window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10,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26-04 issued</w:t>
            </w:r>
            <w:r>
              <w:t xml:space="preserve"> </w:t>
            </w:r>
            <w:r>
              <w:t xml:space="preserve">(risk-based remediation)</w:t>
            </w:r>
          </w:p>
        </w:tc>
        <w:tc>
          <w:tcPr/>
          <w:p>
            <w:pPr>
              <w:pStyle w:val="Compact"/>
            </w:pPr>
            <w:r>
              <w:t xml:space="preserve">Four-variable risk model (exposure × KEV × automatable × impact); timelines from 3 days to deferral replace flat CVSS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 25,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FedRAMP Consolidated Rules for 2026 published</w:t>
            </w:r>
          </w:p>
        </w:tc>
        <w:tc>
          <w:tcPr/>
          <w:p>
            <w:pPr>
              <w:pStyle w:val="Compact"/>
            </w:pPr>
            <w:r>
              <w:t xml:space="preserve">20x leaves pilot; machine-readable KSI evidence regime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 6, 2026</w:t>
            </w:r>
          </w:p>
        </w:tc>
        <w:tc>
          <w:tcPr/>
          <w:p>
            <w:pPr>
              <w:pStyle w:val="Compact"/>
            </w:pPr>
            <w:r>
              <w:t xml:space="preserve">20x Marketplace listings open</w:t>
            </w:r>
          </w:p>
        </w:tc>
        <w:tc>
          <w:tcPr/>
          <w:p>
            <w:pPr>
              <w:pStyle w:val="Compact"/>
            </w:pPr>
            <w:r>
              <w:t xml:space="preserve">CSPs may enter the initial implementation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 28, 2026</w:t>
            </w:r>
          </w:p>
        </w:tc>
        <w:tc>
          <w:tcPr/>
          <w:p>
            <w:pPr>
              <w:pStyle w:val="Compact"/>
            </w:pPr>
            <w:r>
              <w:t xml:space="preserve">FedRAMP Ready goes legacy</w:t>
            </w:r>
          </w:p>
        </w:tc>
        <w:tc>
          <w:tcPr/>
          <w:p>
            <w:pPr>
              <w:pStyle w:val="Compact"/>
            </w:pPr>
            <w:r>
              <w:t xml:space="preserve">No new Ready submissions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 3,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FedRAMP 20x Class A opens</w:t>
            </w:r>
          </w:p>
        </w:tc>
        <w:tc>
          <w:tcPr/>
          <w:p>
            <w:pPr>
              <w:pStyle w:val="Compact"/>
            </w:pPr>
            <w:r>
              <w:t xml:space="preserve">First submission window for new authorizations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7,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26-04: agency policies due</w:t>
            </w:r>
          </w:p>
        </w:tc>
        <w:tc>
          <w:tcPr/>
          <w:p>
            <w:pPr>
              <w:pStyle w:val="Compact"/>
            </w:pPr>
            <w:r>
              <w:t xml:space="preserve">Vulnerability-management policies must support ongoing risk-based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10, 2026</w:t>
            </w:r>
          </w:p>
        </w:tc>
        <w:tc>
          <w:tcPr/>
          <w:p>
            <w:pPr>
              <w:pStyle w:val="Compact"/>
            </w:pPr>
            <w:r>
              <w:t xml:space="preserve">Temporary Rev5 Program Certification opens</w:t>
            </w:r>
          </w:p>
        </w:tc>
        <w:tc>
          <w:tcPr/>
          <w:p>
            <w:pPr>
              <w:pStyle w:val="Compact"/>
            </w:pPr>
            <w:r>
              <w:t xml:space="preserve">Class B/C Ready-conversion and lost-sponsor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 31,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B + C opens</w:t>
            </w:r>
          </w:p>
        </w:tc>
        <w:tc>
          <w:tcPr/>
          <w:p>
            <w:pPr>
              <w:pStyle w:val="Compact"/>
            </w:pPr>
            <w:r>
              <w:t xml:space="preserve">Class C (Moderate) CSO certifications open —</w:t>
            </w:r>
            <w:r>
              <w:t xml:space="preserve"> </w:t>
            </w:r>
            <w:r>
              <w:rPr>
                <w:b/>
                <w:bCs/>
              </w:rPr>
              <w:t xml:space="preserve">the window for the cloud services SSA inherits.</w:t>
            </w:r>
            <w:r>
              <w:t xml:space="preserve"> </w:t>
            </w:r>
            <w:r>
              <w:t xml:space="preserve">SSA tracks that its providers (M365 GCC, GovCloud, DDI) enter the 20x pipeline; this is not an SSA submission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 21,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FIPS 140-2 certificates → NIST Historical List</w:t>
            </w:r>
          </w:p>
        </w:tc>
        <w:tc>
          <w:tcPr/>
          <w:p>
            <w:pPr>
              <w:pStyle w:val="Compact"/>
            </w:pPr>
            <w:r>
              <w:t xml:space="preserve">No new procurement reliance on 140-2-only validated modules; verify crypto modules are FIPS 140-3 tracked (SC-13)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 7,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26-04 remediation timelines in force + FedRAMP VDR/VER mandatory</w:t>
            </w:r>
          </w:p>
        </w:tc>
        <w:tc>
          <w:tcPr/>
          <w:p>
            <w:pPr>
              <w:pStyle w:val="Compact"/>
            </w:pPr>
            <w:r>
              <w:t xml:space="preserve">SBOM + vendor disclosure required; agencies evaluating/remediating on BOD 26-04 timelines; KSI-011–014 evaluable</w:t>
            </w:r>
          </w:p>
        </w:tc>
      </w:tr>
    </w:tbl>
    <w:bookmarkEnd w:id="11"/>
    <w:bookmarkStart w:id="12" w:name="and-beyond-the-horizon"/>
    <w:p>
      <w:pPr>
        <w:pStyle w:val="Heading3"/>
      </w:pPr>
      <w:r>
        <w:t xml:space="preserve">2027 and beyond — the horizon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 1,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FedRAMP CR26 mandatory for all</w:t>
            </w:r>
          </w:p>
        </w:tc>
        <w:tc>
          <w:tcPr/>
          <w:p>
            <w:pPr>
              <w:pStyle w:val="Compact"/>
            </w:pPr>
            <w:r>
              <w:t xml:space="preserve">All ConMon evidence machine-readable KSI format; legacy Rev 5 path closes for new authorizations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 1,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CNSA 2.0 acquisition gate</w:t>
            </w:r>
            <w:r>
              <w:t xml:space="preserve"> </w:t>
            </w:r>
            <w:r>
              <w:t xml:space="preserve">(NSS-scoped)</w:t>
            </w:r>
          </w:p>
        </w:tc>
        <w:tc>
          <w:tcPr/>
          <w:p>
            <w:pPr>
              <w:pStyle w:val="Compact"/>
            </w:pPr>
            <w:r>
              <w:t xml:space="preserve">New National Security System acquisitions must support ML-KEM-1024 + ML-DSA-87; civilian trajectory follows via M-23-02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 11, 2027</w:t>
            </w:r>
          </w:p>
        </w:tc>
        <w:tc>
          <w:tcPr/>
          <w:p>
            <w:pPr>
              <w:pStyle w:val="Compact"/>
            </w:pPr>
            <w:r>
              <w:t xml:space="preserve">New Rev 5 certifications cease</w:t>
            </w:r>
          </w:p>
        </w:tc>
        <w:tc>
          <w:tcPr/>
          <w:p>
            <w:pPr>
              <w:pStyle w:val="Compact"/>
            </w:pPr>
            <w:r>
              <w:t xml:space="preserve">No new legacy authorizations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~Aug 2027</w:t>
            </w:r>
          </w:p>
        </w:tc>
        <w:tc>
          <w:tcPr/>
          <w:p>
            <w:pPr>
              <w:pStyle w:val="Compact"/>
            </w:pPr>
            <w:r>
              <w:t xml:space="preserve">Next scheduled NIST SP 800-53 release</w:t>
            </w:r>
          </w:p>
        </w:tc>
        <w:tc>
          <w:tcPr/>
          <w:p>
            <w:pPr>
              <w:pStyle w:val="Compact"/>
            </w:pPr>
            <w:r>
              <w:t xml:space="preserve">Time-driven major releases every 2 years from Release 5.2.0 — watch for control deltas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Quantum-vulnerable cryptography</w:t>
            </w:r>
            <w:r>
              <w:t xml:space="preserve"> </w:t>
            </w:r>
            <w:r>
              <w:rPr>
                <w:b/>
                <w:bCs/>
              </w:rPr>
              <w:t xml:space="preserve">deprecated</w:t>
            </w:r>
            <w:r>
              <w:t xml:space="preserve"> </w:t>
            </w:r>
            <w:r>
              <w:t xml:space="preserve">(federal target)</w:t>
            </w:r>
          </w:p>
        </w:tc>
        <w:tc>
          <w:tcPr/>
          <w:p>
            <w:pPr>
              <w:pStyle w:val="Compact"/>
            </w:pPr>
            <w:r>
              <w:t xml:space="preserve">RSA/ECC key establishment and signatures phase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PQC migration</w:t>
            </w:r>
            <w:r>
              <w:t xml:space="preserve"> </w:t>
            </w:r>
            <w:r>
              <w:rPr>
                <w:b/>
                <w:bCs/>
              </w:rPr>
              <w:t xml:space="preserve">complete</w:t>
            </w:r>
            <w:r>
              <w:t xml:space="preserve">; quantum-vulnerable</w:t>
            </w:r>
            <w:r>
              <w:t xml:space="preserve"> </w:t>
            </w:r>
            <w:r>
              <w:rPr>
                <w:b/>
                <w:bCs/>
              </w:rP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M-23-02 / NSM-10 horizon for federal civilian systems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New exposure from Release 5.2.0 (action item):</w:t>
      </w:r>
      <w:r>
        <w:t xml:space="preserve"> </w:t>
      </w:r>
      <w:r>
        <w:t xml:space="preserve">NIST SP 800-53 Release</w:t>
      </w:r>
      <w:r>
        <w:t xml:space="preserve"> </w:t>
      </w:r>
      <w:r>
        <w:t xml:space="preserve">5.2.0 (Aug 27, 2025) added</w:t>
      </w:r>
      <w:r>
        <w:t xml:space="preserve"> </w:t>
      </w:r>
      <w:r>
        <w:rPr>
          <w:b/>
          <w:bCs/>
        </w:rPr>
        <w:t xml:space="preserve">SA-15(13)</w:t>
      </w:r>
      <w:r>
        <w:t xml:space="preserve"> </w:t>
      </w:r>
      <w:r>
        <w:t xml:space="preserve">(secure update process),</w:t>
      </w:r>
      <w:r>
        <w:t xml:space="preserve"> </w:t>
      </w:r>
      <w:r>
        <w:rPr>
          <w:b/>
          <w:bCs/>
        </w:rPr>
        <w:t xml:space="preserve">SA-24</w:t>
      </w:r>
      <w:r>
        <w:t xml:space="preserve"> </w:t>
      </w:r>
      <w:r>
        <w:t xml:space="preserve">(root-of-trust for software updates), and</w:t>
      </w:r>
      <w:r>
        <w:t xml:space="preserve"> </w:t>
      </w:r>
      <w:r>
        <w:rPr>
          <w:b/>
          <w:bCs/>
        </w:rPr>
        <w:t xml:space="preserve">SI-2(7)</w:t>
      </w:r>
      <w:r>
        <w:t xml:space="preserve"> </w:t>
      </w:r>
      <w:r>
        <w:t xml:space="preserve">(update integrity</w:t>
      </w:r>
      <w:r>
        <w:t xml:space="preserve"> </w:t>
      </w:r>
      <w:r>
        <w:t xml:space="preserve">verification), plus discussion changes across SA-4/5/8 and SI-2. The AAN</w:t>
      </w:r>
      <w:r>
        <w:t xml:space="preserve"> </w:t>
      </w:r>
      <w:r>
        <w:t xml:space="preserve">series control-closure tables (Parts 11, 15) predate the additions and do not</w:t>
      </w:r>
      <w:r>
        <w:t xml:space="preserve"> </w:t>
      </w:r>
      <w:r>
        <w:t xml:space="preserve">yet map them. When FedRAMP incorporates 5.2.0 deltas into baselines, these</w:t>
      </w:r>
      <w:r>
        <w:t xml:space="preserve"> </w:t>
      </w:r>
      <w:r>
        <w:t xml:space="preserve">three land in the Part 11 / Part 15 closure scope — track and map before the</w:t>
      </w:r>
      <w:r>
        <w:t xml:space="preserve"> </w:t>
      </w:r>
      <w:r>
        <w:t xml:space="preserve">next annual assessment.</w:t>
      </w:r>
    </w:p>
    <w:p>
      <w:pPr>
        <w:pStyle w:val="FirstParagraph"/>
      </w:pPr>
      <w:r>
        <w:rPr>
          <w:b/>
          <w:bCs/>
        </w:rPr>
        <w:t xml:space="preserve">Timeline sources (verified 2026-07-07):</w:t>
      </w:r>
      <w:r>
        <w:t xml:space="preserve"> </w:t>
      </w:r>
      <w:r>
        <w:t xml:space="preserve">FedRAMP Consolidated Rules for</w:t>
      </w:r>
      <w:r>
        <w:t xml:space="preserve"> </w:t>
      </w:r>
      <w:r>
        <w:t xml:space="preserve">2026 announcement + timeline (fedramp.gov/20x); CISA BOD 26-04 directive +</w:t>
      </w:r>
      <w:r>
        <w:t xml:space="preserve"> </w:t>
      </w:r>
      <w:r>
        <w:t xml:space="preserve">implementation guidance (cisa.gov); FedRAMP notice 0014 (BOD 26-04 response —</w:t>
      </w:r>
      <w:r>
        <w:t xml:space="preserve"> </w:t>
      </w:r>
      <w:r>
        <w:t xml:space="preserve">VDR/VER Dec 7, 2026); CISA BOD 25-01 / 23-02 (cisa.gov); NIST SP 800-53</w:t>
      </w:r>
      <w:r>
        <w:t xml:space="preserve"> </w:t>
      </w:r>
      <w:r>
        <w:t xml:space="preserve">Release 5.2.0 change summary (csrc.nist.gov, Aug 27, 2025); OMB M-22-09 /</w:t>
      </w:r>
      <w:r>
        <w:t xml:space="preserve"> </w:t>
      </w:r>
      <w:r>
        <w:t xml:space="preserve">M-21-31 / M-21-07 / M-23-02 (whitehouse.gov); NSA CNSA 2.0 (v2.1, Dec 2024);</w:t>
      </w:r>
      <w:r>
        <w:t xml:space="preserve"> </w:t>
      </w:r>
      <w:r>
        <w:t xml:space="preserve">NIST FIPS 140-2 Historical List transition (Sep 21, 2026); CISA FISMA CIO</w:t>
      </w:r>
      <w:r>
        <w:t xml:space="preserve"> </w:t>
      </w:r>
      <w:r>
        <w:t xml:space="preserve">metrics / CyberScope reporting guidance.</w:t>
      </w:r>
    </w:p>
    <w:bookmarkEnd w:id="12"/>
    <w:bookmarkStart w:id="13" w:name="X1d1d5b3c6f13230bac7722390f45a67e1261335"/>
    <w:p>
      <w:pPr>
        <w:pStyle w:val="Heading3"/>
      </w:pPr>
      <w:r>
        <w:t xml:space="preserve">Scoping notes — adjacent regimes, deliberately bounded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governance (OMB M-24-10, superseded Apr 2025 by M-25-21/M-25-22; NIST</w:t>
      </w:r>
      <w:r>
        <w:rPr>
          <w:b/>
          <w:bCs/>
        </w:rPr>
        <w:t xml:space="preserve"> </w:t>
      </w:r>
      <w:r>
        <w:rPr>
          <w:b/>
          <w:bCs/>
        </w:rPr>
        <w:t xml:space="preserve">AI RMF):</w:t>
      </w:r>
      <w:r>
        <w:t xml:space="preserve"> </w:t>
      </w:r>
      <w:r>
        <w:t xml:space="preserve">out of scope for this series</w:t>
      </w:r>
      <w:r>
        <w:t xml:space="preserve"> </w:t>
      </w:r>
      <w:r>
        <w:rPr>
          <w:i/>
          <w:iCs/>
        </w:rPr>
        <w:t xml:space="preserve">as long as no AI system component</w:t>
      </w:r>
      <w:r>
        <w:rPr>
          <w:i/>
          <w:iCs/>
        </w:rPr>
        <w:t xml:space="preserve"> </w:t>
      </w:r>
      <w:r>
        <w:rPr>
          <w:i/>
          <w:iCs/>
        </w:rPr>
        <w:t xml:space="preserve">sits inside the authorization boundary</w:t>
      </w:r>
      <w:r>
        <w:t xml:space="preserve">. The series’ network, identity, and</w:t>
      </w:r>
      <w:r>
        <w:t xml:space="preserve"> </w:t>
      </w:r>
      <w:r>
        <w:t xml:space="preserve">evidence planes carry no AI decision systems. If SSA deploys AI within the</w:t>
      </w:r>
      <w:r>
        <w:t xml:space="preserve"> </w:t>
      </w:r>
      <w:r>
        <w:t xml:space="preserve">boundary, the AI use-case inventory, risk management, and transparency</w:t>
      </w:r>
      <w:r>
        <w:t xml:space="preserve"> </w:t>
      </w:r>
      <w:r>
        <w:t xml:space="preserve">requirements attach — track the decision in the PM governance layer</w:t>
      </w:r>
      <w:r>
        <w:t xml:space="preserve"> </w:t>
      </w:r>
      <w:r>
        <w:t xml:space="preserve">(Book 16) and revisit this note. (The SSA reviewer’s reference to</w:t>
      </w:r>
      <w:r>
        <w:t xml:space="preserve"> </w:t>
      </w:r>
      <w:r>
        <w:t xml:space="preserve">“M-24-04”</w:t>
      </w:r>
      <w:r>
        <w:t xml:space="preserve"> </w:t>
      </w:r>
      <w:r>
        <w:t xml:space="preserve">conflates the FY24 FISMA guidance memo with the AI memo; the</w:t>
      </w:r>
      <w:r>
        <w:t xml:space="preserve"> </w:t>
      </w:r>
      <w:r>
        <w:t xml:space="preserve">correct citations are above.)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lifecycle (PIA/PTA under OMB A-130):</w:t>
      </w:r>
      <w:r>
        <w:t xml:space="preserve"> </w:t>
      </w:r>
      <w:r>
        <w:t xml:space="preserve">the control-family mapping</w:t>
      </w:r>
      <w:r>
        <w:t xml:space="preserve"> </w:t>
      </w:r>
      <w:r>
        <w:t xml:space="preserve">is Part 17’s PT coverage (Rev 5 integrated the former Appendix J privacy</w:t>
      </w:r>
      <w:r>
        <w:t xml:space="preserve"> </w:t>
      </w:r>
      <w:r>
        <w:t xml:space="preserve">controls into the catalog; Appendix J no longer exists as such). The</w:t>
      </w:r>
      <w:r>
        <w:t xml:space="preserve"> </w:t>
      </w:r>
      <w:r>
        <w:t xml:space="preserve">PIA/PTA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w:r>
        <w:t xml:space="preserve">lifecycle — privacy threshold analysis at system</w:t>
      </w:r>
      <w:r>
        <w:t xml:space="preserve"> </w:t>
      </w:r>
      <w:r>
        <w:t xml:space="preserve">change, privacy impact assessment before PII processing changes — is an</w:t>
      </w:r>
      <w:r>
        <w:t xml:space="preserve"> </w:t>
      </w:r>
      <w:r>
        <w:t xml:space="preserve">agency SOP artifact layered on Part 17’s DFL-001..006 data-flow maps.</w:t>
      </w:r>
      <w:r>
        <w:t xml:space="preserve"> </w:t>
      </w:r>
      <w:r>
        <w:t xml:space="preserve">Flagged as Part 17 backlog: PTA/PIA procedure templates keyed to the</w:t>
      </w:r>
      <w:r>
        <w:t xml:space="preserve"> </w:t>
      </w:r>
      <w:r>
        <w:t xml:space="preserve">data-flow map identifiers.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Memory-safe languages (CISA/NSA joint guidance,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The Case 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Memory-Safe Roadmaps</w:t>
      </w:r>
      <w:r>
        <w:rPr>
          <w:b/>
          <w:bCs/>
        </w:rPr>
        <w:t xml:space="preserve">, Dec 2023; CISA Secure by Design):</w:t>
      </w:r>
      <w:r>
        <w:t xml:space="preserve"> </w:t>
      </w:r>
      <w:r>
        <w:t xml:space="preserve">guidance aimed</w:t>
      </w:r>
      <w:r>
        <w:t xml:space="preserve"> </w:t>
      </w:r>
      <w:r>
        <w:t xml:space="preserve">at software</w:t>
      </w:r>
      <w:r>
        <w:t xml:space="preserve"> </w:t>
      </w:r>
      <w:r>
        <w:rPr>
          <w:i/>
          <w:iCs/>
        </w:rPr>
        <w:t xml:space="preserve">manufacturers</w:t>
      </w:r>
      <w:r>
        <w:t xml:space="preserve">, not a directive binding on agencies — and</w:t>
      </w:r>
      <w:r>
        <w:t xml:space="preserve"> </w:t>
      </w:r>
      <w:r>
        <w:t xml:space="preserve">distinct from BOD 23-02, which covers internet-exposed management</w:t>
      </w:r>
      <w:r>
        <w:t xml:space="preserve"> </w:t>
      </w:r>
      <w:r>
        <w:t xml:space="preserve">interfaces and appears in the timeline above. The series hook is Part 15</w:t>
      </w:r>
      <w:r>
        <w:t xml:space="preserve"> </w:t>
      </w:r>
      <w:r>
        <w:t xml:space="preserve">vendor diligence: whether a supplier publishes a memory-safety roadmap</w:t>
      </w:r>
      <w:r>
        <w:t xml:space="preserve"> </w:t>
      </w:r>
      <w:r>
        <w:t xml:space="preserve">joins the SCRM evaluation criteria alongside SBOM/VDR posture.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eadac7c4fb24edd27b0cdc9f8e1c84b6a2d3645"/>
    <w:p>
      <w:pPr>
        <w:pStyle w:val="Heading2"/>
      </w:pPr>
      <w:r>
        <w:t xml:space="preserve">Mechanism, Not Product — Alternative Implementation Paths</w:t>
      </w:r>
    </w:p>
    <w:p>
      <w:pPr>
        <w:pStyle w:val="FirstParagraph"/>
      </w:pPr>
      <w:r>
        <w:rPr>
          <w:i/>
          <w:iCs/>
        </w:rPr>
        <w:t xml:space="preserve">Added 2026-07-07 in response to SSA review feedback. The feedback correctly</w:t>
      </w:r>
      <w:r>
        <w:rPr>
          <w:i/>
          <w:iCs/>
        </w:rPr>
        <w:t xml:space="preserve"> </w:t>
      </w:r>
      <w:r>
        <w:rPr>
          <w:i/>
          <w:iCs/>
        </w:rPr>
        <w:t xml:space="preserve">observed that the series’</w:t>
      </w:r>
      <w:r>
        <w:rPr>
          <w:i/>
          <w:iCs/>
        </w:rPr>
        <w:t xml:space="preserve"> </w:t>
      </w:r>
      <w:r>
        <w:rPr>
          <w:i/>
          <w:iCs/>
        </w:rPr>
        <w:t xml:space="preserve">“no alternate closure path”</w:t>
      </w:r>
      <w:r>
        <w:rPr>
          <w:i/>
          <w:iCs/>
        </w:rPr>
        <w:t xml:space="preserve"> </w:t>
      </w:r>
      <w:r>
        <w:rPr>
          <w:i/>
          <w:iCs/>
        </w:rPr>
        <w:t xml:space="preserve">language can be</w:t>
      </w:r>
      <w:r>
        <w:rPr>
          <w:i/>
          <w:iCs/>
        </w:rPr>
        <w:t xml:space="preserve"> </w:t>
      </w:r>
      <w:r>
        <w:rPr>
          <w:i/>
          <w:iCs/>
        </w:rPr>
        <w:t xml:space="preserve">misread. The clarification, stated plainly:</w:t>
      </w:r>
    </w:p>
    <w:p>
      <w:pPr>
        <w:pStyle w:val="BlockText"/>
      </w:pPr>
      <w:r>
        <w:rPr>
          <w:b/>
          <w:bCs/>
        </w:rPr>
        <w:t xml:space="preserve">Closure necessity names mechanism classes, never products.</w:t>
      </w:r>
      <w:r>
        <w:t xml:space="preserve"> </w:t>
      </w:r>
      <w:r>
        <w:t xml:space="preserve">“Only</w:t>
      </w:r>
      <w:r>
        <w:t xml:space="preserve"> </w:t>
      </w:r>
      <w:r>
        <w:t xml:space="preserve">port-based authentication closes IA-3”</w:t>
      </w:r>
      <w:r>
        <w:t xml:space="preserve"> </w:t>
      </w:r>
      <w:r>
        <w:t xml:space="preserve">is a claim about protocol behavior;</w:t>
      </w:r>
      <w:r>
        <w:t xml:space="preserve"> </w:t>
      </w:r>
      <w:r>
        <w:t xml:space="preserve">it is falsifiable and it names no vendor. The products named throughout</w:t>
      </w:r>
      <w:r>
        <w:t xml:space="preserve"> </w:t>
      </w:r>
      <w:r>
        <w:t xml:space="preserve">the series (InfoBlox, NPS, Cisco Catalyst SD-WAN, Entra ID, Oracle HCM</w:t>
      </w:r>
      <w:r>
        <w:t xml:space="preserve"> </w:t>
      </w:r>
      <w:r>
        <w:t xml:space="preserve">Cloud, Sentinel) are</w:t>
      </w:r>
      <w:r>
        <w:t xml:space="preserve"> </w:t>
      </w:r>
      <w:r>
        <w:rPr>
          <w:b/>
          <w:bCs/>
        </w:rPr>
        <w:t xml:space="preserve">deployed examples of the mechanism</w:t>
      </w:r>
      <w:r>
        <w:t xml:space="preserve">, chosen for</w:t>
      </w:r>
      <w:r>
        <w:t xml:space="preserve"> </w:t>
      </w:r>
      <w:r>
        <w:t xml:space="preserve">SSA’s current estate. For every layer there are FedRAMP-authorized</w:t>
      </w:r>
      <w:r>
        <w:t xml:space="preserve"> </w:t>
      </w:r>
      <w:r>
        <w:t xml:space="preserve">alternatives that satisfy the same mechanism — and per program doctrine,</w:t>
      </w:r>
      <w:r>
        <w:t xml:space="preserve"> </w:t>
      </w:r>
      <w:r>
        <w:rPr>
          <w:b/>
          <w:bCs/>
        </w:rPr>
        <w:t xml:space="preserve">the agency must select one path per layer, and the selected path becomes</w:t>
      </w:r>
      <w:r>
        <w:rPr>
          <w:b/>
          <w:bCs/>
        </w:rPr>
        <w:t xml:space="preserve"> </w:t>
      </w:r>
      <w:r>
        <w:rPr>
          <w:b/>
          <w:bCs/>
        </w:rPr>
        <w:t xml:space="preserve">mandatory once chosen.</w:t>
      </w:r>
      <w:r>
        <w:t xml:space="preserve"> </w:t>
      </w:r>
      <w:r>
        <w:t xml:space="preserve">Multiple compliant paths exist before the choice;</w:t>
      </w:r>
      <w:r>
        <w:t xml:space="preserve"> </w:t>
      </w:r>
      <w:r>
        <w:t xml:space="preserve">exactly one exists after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 (mechanism that closes the controls)</w:t>
            </w:r>
          </w:p>
        </w:tc>
        <w:tc>
          <w:tcPr/>
          <w:p>
            <w:pPr>
              <w:pStyle w:val="Compact"/>
            </w:pPr>
            <w:r>
              <w:t xml:space="preserve">Deployed example</w:t>
            </w:r>
          </w:p>
        </w:tc>
        <w:tc>
          <w:tcPr/>
          <w:p>
            <w:pPr>
              <w:pStyle w:val="Compact"/>
            </w:pPr>
            <w:r>
              <w:t xml:space="preserve">FedRAMP-authorized alternatives (verify current status on the Marketplace)</w:t>
            </w:r>
          </w:p>
        </w:tc>
        <w:tc>
          <w:tcPr/>
          <w:p>
            <w:pPr>
              <w:pStyle w:val="Compact"/>
            </w:pPr>
            <w:r>
              <w:t xml:space="preserve">What changes on substitution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 DDI</w:t>
            </w:r>
            <w:r>
              <w:t xml:space="preserve"> </w:t>
            </w:r>
            <w:r>
              <w:t xml:space="preserve">— authoritative DNS/DHCP/IPAM with DNSSEC + RPZ (SC-20/21/22, CM-8)</w:t>
            </w:r>
          </w:p>
        </w:tc>
        <w:tc>
          <w:tcPr/>
          <w:p>
            <w:pPr>
              <w:pStyle w:val="Compact"/>
            </w:pPr>
            <w:r>
              <w:t xml:space="preserve">InfoBlox NIOS / BloxOne</w:t>
            </w:r>
          </w:p>
        </w:tc>
        <w:tc>
          <w:tcPr/>
          <w:p>
            <w:pPr>
              <w:pStyle w:val="Compact"/>
            </w:pPr>
            <w:r>
              <w:t xml:space="preserve">BlueCat Integrity; composite path: Azure DNS Private Resolver + Route 53/AWS IPAM + Windows DHCP</w:t>
            </w:r>
          </w:p>
        </w:tc>
        <w:tc>
          <w:tcPr/>
          <w:p>
            <w:pPr>
              <w:pStyle w:val="Compact"/>
            </w:pPr>
            <w:r>
              <w:t xml:space="preserve">Adapter/connector work per cloud; the composite path forfeits the single policy plane and re-opens the split-brain risk the whitepaper documents — compensating reconciliation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NAC / RADIUS</w:t>
            </w:r>
            <w:r>
              <w:t xml:space="preserve"> </w:t>
            </w:r>
            <w:r>
              <w:t xml:space="preserve">— 802.1X EAP-TLS at the port (IA-3, SC-7(3)/(5))</w:t>
            </w:r>
          </w:p>
        </w:tc>
        <w:tc>
          <w:tcPr/>
          <w:p>
            <w:pPr>
              <w:pStyle w:val="Compact"/>
            </w:pPr>
            <w:r>
              <w:t xml:space="preserve">Microsoft NPS</w:t>
            </w:r>
          </w:p>
        </w:tc>
        <w:tc>
          <w:tcPr/>
          <w:p>
            <w:pPr>
              <w:pStyle w:val="Compact"/>
            </w:pPr>
            <w:r>
              <w:t xml:space="preserve">Cisco ISE; Aruba ClearPass; Forescout</w:t>
            </w:r>
          </w:p>
        </w:tc>
        <w:tc>
          <w:tcPr/>
          <w:p>
            <w:pPr>
              <w:pStyle w:val="Compact"/>
            </w:pPr>
            <w:r>
              <w:t xml:space="preserve">Same EAP-TLS + Entra inventory pattern (Book 02 already names these); policy syntax, posture connectors, and CoA integration differ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SD-WAN</w:t>
            </w:r>
            <w:r>
              <w:t xml:space="preserve"> </w:t>
            </w:r>
            <w:r>
              <w:t xml:space="preserve">— active-active multipath overlay with per-app steering (SC-8, AC-4, AU-12)</w:t>
            </w:r>
          </w:p>
        </w:tc>
        <w:tc>
          <w:tcPr/>
          <w:p>
            <w:pPr>
              <w:pStyle w:val="Compact"/>
            </w:pPr>
            <w:r>
              <w:t xml:space="preserve">Cisco Catalyst SD-WAN</w:t>
            </w:r>
          </w:p>
        </w:tc>
        <w:tc>
          <w:tcPr/>
          <w:p>
            <w:pPr>
              <w:pStyle w:val="Compact"/>
            </w:pPr>
            <w:r>
              <w:t xml:space="preserve">Palo Alto Prisma SD-WAN; Fortinet Secure SD-WAN; Versa; VMware VeloCloud</w:t>
            </w:r>
          </w:p>
        </w:tc>
        <w:tc>
          <w:tcPr/>
          <w:p>
            <w:pPr>
              <w:pStyle w:val="Compact"/>
            </w:pPr>
            <w:r>
              <w:t xml:space="preserve">Book 05 Appendix A’s boundary table and KSI evidence contracts re-derived per vendor; an M365 Cloud OnRamp equivalent must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SASE / SSE</w:t>
            </w:r>
            <w:r>
              <w:t xml:space="preserve"> </w:t>
            </w:r>
            <w:r>
              <w:t xml:space="preserve">— distributed TIC 3.0 PEP (SC-7, SI-3, AC-4)</w:t>
            </w:r>
          </w:p>
        </w:tc>
        <w:tc>
          <w:tcPr/>
          <w:p>
            <w:pPr>
              <w:pStyle w:val="Compact"/>
            </w:pPr>
            <w:r>
              <w:t xml:space="preserve">Cisco Umbrella</w:t>
            </w:r>
          </w:p>
        </w:tc>
        <w:tc>
          <w:tcPr/>
          <w:p>
            <w:pPr>
              <w:pStyle w:val="Compact"/>
            </w:pPr>
            <w:r>
              <w:t xml:space="preserve">Zscaler; Netskope GovCloud; Palo Alto Prisma Access</w:t>
            </w:r>
          </w:p>
        </w:tc>
        <w:tc>
          <w:tcPr/>
          <w:p>
            <w:pPr>
              <w:pStyle w:val="Compact"/>
            </w:pPr>
            <w:r>
              <w:t xml:space="preserve">TIC 3.0 capability mapping redone at the new PEP; M365 Optimize-category exemption honored identically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provider</w:t>
            </w:r>
            <w:r>
              <w:t xml:space="preserve"> </w:t>
            </w:r>
            <w:r>
              <w:t xml:space="preserve">— token issuance + conditional access (IA-2, AC-2)</w:t>
            </w:r>
          </w:p>
        </w:tc>
        <w:tc>
          <w:tcPr/>
          <w:p>
            <w:pPr>
              <w:pStyle w:val="Compact"/>
            </w:pPr>
            <w:r>
              <w:t xml:space="preserve">Entra ID (GCC)</w:t>
            </w:r>
          </w:p>
        </w:tc>
        <w:tc>
          <w:tcPr/>
          <w:p>
            <w:pPr>
              <w:pStyle w:val="Compact"/>
            </w:pPr>
            <w:r>
              <w:t xml:space="preserve">Okta for Government; Ping Government</w:t>
            </w:r>
          </w:p>
        </w:tc>
        <w:tc>
          <w:tcPr/>
          <w:p>
            <w:pPr>
              <w:pStyle w:val="Compact"/>
            </w:pPr>
            <w:r>
              <w:t xml:space="preserve">Entra is structurally coupled to M365 GCC — alternatives realistically front non-M365 applications rather than replace the tenant IdP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system of record</w:t>
            </w:r>
            <w:r>
              <w:t xml:space="preserve"> </w:t>
            </w:r>
            <w:r>
              <w:t xml:space="preserve">— event-driven identity SSOT (AC-2, PS-4/5, IA-4)</w:t>
            </w:r>
          </w:p>
        </w:tc>
        <w:tc>
          <w:tcPr/>
          <w:p>
            <w:pPr>
              <w:pStyle w:val="Compact"/>
            </w:pPr>
            <w:r>
              <w:t xml:space="preserve">Oracle HCM Cloud</w:t>
            </w:r>
          </w:p>
        </w:tc>
        <w:tc>
          <w:tcPr/>
          <w:p>
            <w:pPr>
              <w:pStyle w:val="Compact"/>
            </w:pPr>
            <w:r>
              <w:t xml:space="preserve">Workday Government Cloud; SAP SuccessFactors (gov)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of the doctrine changes.</w:t>
            </w:r>
            <w:r>
              <w:t xml:space="preserve"> </w:t>
            </w:r>
            <w:r>
              <w:t xml:space="preserve">Spec2-D3.1 is source-agnostic by design: the middleware adapter changes, the SCIM pipeline and every downstream derivation do not (Book 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/ evidence plane</w:t>
            </w:r>
            <w:r>
              <w:t xml:space="preserve"> </w:t>
            </w:r>
            <w:r>
              <w:t xml:space="preserve">— unified telemetry + analytics (AU-6, SI-4, IR-4)</w:t>
            </w:r>
          </w:p>
        </w:tc>
        <w:tc>
          <w:tcPr/>
          <w:p>
            <w:pPr>
              <w:pStyle w:val="Compac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</w:pPr>
            <w:r>
              <w:t xml:space="preserve">Splunk (GovCloud); Elastic (gov offerings); Devo (gov)</w:t>
            </w:r>
          </w:p>
        </w:tc>
        <w:tc>
          <w:tcPr/>
          <w:p>
            <w:pPr>
              <w:pStyle w:val="Compact"/>
            </w:pPr>
            <w:r>
              <w:t xml:space="preserve">Detection content rewritten (KQL → SPL/EQL); the slot evidence contracts and OSCAL emitters are format-stable and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PAM</w:t>
            </w:r>
            <w:r>
              <w:t xml:space="preserve"> </w:t>
            </w:r>
            <w:r>
              <w:t xml:space="preserve">— JIT elevation + privileged workstations (AC-5/6, IA-11)</w:t>
            </w:r>
          </w:p>
        </w:tc>
        <w:tc>
          <w:tcPr/>
          <w:p>
            <w:pPr>
              <w:pStyle w:val="Compact"/>
            </w:pPr>
            <w:r>
              <w:t xml:space="preserve">Entra PIM + PAW</w:t>
            </w:r>
          </w:p>
        </w:tc>
        <w:tc>
          <w:tcPr/>
          <w:p>
            <w:pPr>
              <w:pStyle w:val="Compact"/>
            </w:pPr>
            <w:r>
              <w:t xml:space="preserve">CyberArk (gov); BeyondTrust; Delinea</w:t>
            </w:r>
          </w:p>
        </w:tc>
        <w:tc>
          <w:tcPr/>
          <w:p>
            <w:pPr>
              <w:pStyle w:val="Compact"/>
            </w:pPr>
            <w:r>
              <w:t xml:space="preserve">JIT activation and approval routing still resolve against the Part 4 org SSOT; workflow integration differs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 lifecycle</w:t>
            </w:r>
            <w:r>
              <w:t xml:space="preserve"> </w:t>
            </w:r>
            <w:r>
              <w:t xml:space="preserve">— CLM bound to the DNS SSOT (IA-5(2), SC-17)</w:t>
            </w:r>
          </w:p>
        </w:tc>
        <w:tc>
          <w:tcPr/>
          <w:p>
            <w:pPr>
              <w:pStyle w:val="Compact"/>
            </w:pPr>
            <w:r>
              <w:t xml:space="preserve">Keyfactor / Sectigo (named in Part 1)</w:t>
            </w:r>
          </w:p>
        </w:tc>
        <w:tc>
          <w:tcPr/>
          <w:p>
            <w:pPr>
              <w:pStyle w:val="Compact"/>
            </w:pPr>
            <w:r>
              <w:t xml:space="preserve">Venafi; AppViewX</w:t>
            </w:r>
          </w:p>
        </w:tc>
        <w:tc>
          <w:tcPr/>
          <w:p>
            <w:pPr>
              <w:pStyle w:val="Compact"/>
            </w:pPr>
            <w:r>
              <w:t xml:space="preserve">The DNS-name-as-SSOT binding pattern is the invariant; connector estate differs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MDM / posture</w:t>
            </w:r>
            <w:r>
              <w:t xml:space="preserve"> </w:t>
            </w:r>
            <w:r>
              <w:t xml:space="preserve">— compliance signal into NAC + CA (CM-2/6)</w:t>
            </w:r>
          </w:p>
        </w:tc>
        <w:tc>
          <w:tcPr/>
          <w:p>
            <w:pPr>
              <w:pStyle w:val="Compact"/>
            </w:pPr>
            <w:r>
              <w:t xml:space="preserve">Microsoft Intune</w:t>
            </w:r>
          </w:p>
        </w:tc>
        <w:tc>
          <w:tcPr/>
          <w:p>
            <w:pPr>
              <w:pStyle w:val="Compact"/>
            </w:pPr>
            <w:r>
              <w:t xml:space="preserve">Omnissa Workspace ONE (gov); Jamf (macOS estate)</w:t>
            </w:r>
          </w:p>
        </w:tc>
        <w:tc>
          <w:tcPr/>
          <w:p>
            <w:pPr>
              <w:pStyle w:val="Compact"/>
            </w:pPr>
            <w:r>
              <w:t xml:space="preserve">SCEP profile delivery and a compliance API the RADIUS layer can query are the invariants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is deliberately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integrated here:</w:t>
      </w:r>
      <w:r>
        <w:t xml:space="preserve"> </w:t>
      </w:r>
      <w:r>
        <w:t xml:space="preserve">the NGTP procurement bid</w:t>
      </w:r>
      <w:r>
        <w:t xml:space="preserve"> </w:t>
      </w:r>
      <w:r>
        <w:t xml:space="preserve">matrices (Vendor A–F). Those are source-selection-sensitive acquisition</w:t>
      </w:r>
      <w:r>
        <w:t xml:space="preserve"> </w:t>
      </w:r>
      <w:r>
        <w:t xml:space="preserve">documents; folding them into an architecture corpus would compromise the</w:t>
      </w:r>
      <w:r>
        <w:t xml:space="preserve"> </w:t>
      </w:r>
      <w:r>
        <w:t xml:space="preserve">procurement. This table serves the same leadership question (</w:t>
      </w:r>
      <w:r>
        <w:t xml:space="preserve">“are there</w:t>
      </w:r>
      <w:r>
        <w:t xml:space="preserve"> </w:t>
      </w:r>
      <w:r>
        <w:t xml:space="preserve">other ways to comply?”</w:t>
      </w:r>
      <w:r>
        <w:t xml:space="preserve">) from public, non-competitive information.</w:t>
      </w:r>
    </w:p>
    <w:p>
      <w:r>
        <w:pict>
          <v:rect style="width:0;height:1.5pt" o:hralign="center" o:hrstd="t" o:hr="t"/>
        </w:pict>
      </w:r>
    </w:p>
    <w:bookmarkEnd w:id="15"/>
    <w:bookmarkStart w:id="16" w:name="X0b0b88e7bcf1ecd8dc5e049fc388173f4bf749d"/>
    <w:p>
      <w:pPr>
        <w:pStyle w:val="Heading2"/>
      </w:pPr>
      <w:r>
        <w:t xml:space="preserve">GCC-Moderate Boundary Gaps — Where the Compensating-Control Work Lives</w:t>
      </w:r>
    </w:p>
    <w:p>
      <w:pPr>
        <w:pStyle w:val="FirstParagraph"/>
      </w:pPr>
      <w:r>
        <w:t xml:space="preserve">The SSA review asked for a</w:t>
      </w:r>
      <w:r>
        <w:t xml:space="preserve"> </w:t>
      </w:r>
      <w:r>
        <w:t xml:space="preserve">“compensating control matrix for GCC-Moderate</w:t>
      </w:r>
      <w:r>
        <w:t xml:space="preserve"> </w:t>
      </w:r>
      <w:r>
        <w:t xml:space="preserve">feature gaps.”</w:t>
      </w:r>
      <w:r>
        <w:t xml:space="preserve"> </w:t>
      </w:r>
      <w:r>
        <w:rPr>
          <w:b/>
          <w:bCs/>
        </w:rPr>
        <w:t xml:space="preserve">That artifact exists and is maintained outside this</w:t>
      </w:r>
      <w:r>
        <w:rPr>
          <w:b/>
          <w:bCs/>
        </w:rPr>
        <w:t xml:space="preserve"> </w:t>
      </w:r>
      <w:r>
        <w:rPr>
          <w:b/>
          <w:bCs/>
        </w:rPr>
        <w:t xml:space="preserve">roadmap</w:t>
      </w:r>
      <w:r>
        <w:t xml:space="preserve">, in the CSI Team’s GCC Moderate boundary-analysis workstream (the</w:t>
      </w:r>
      <w:r>
        <w:t xml:space="preserve"> </w:t>
      </w:r>
      <w:r>
        <w:t xml:space="preserve">SCuBA / FedRAMP boundary-limitations briefs and their gap registers):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machine-readable telemetry-gap register</w:t>
      </w:r>
      <w:r>
        <w:t xml:space="preserve"> </w:t>
      </w:r>
      <w:r>
        <w:t xml:space="preserve">— the signal source of</w:t>
      </w:r>
      <w:r>
        <w:t xml:space="preserve"> </w:t>
      </w:r>
      <w:r>
        <w:t xml:space="preserve">truth: every telemetry and feature signal unavailable at the GCC Moderate</w:t>
      </w:r>
      <w:r>
        <w:t xml:space="preserve"> </w:t>
      </w:r>
      <w:r>
        <w:t xml:space="preserve">service level, with per-signal fix coverage.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fix-coverage matrix</w:t>
      </w:r>
      <w:r>
        <w:t xml:space="preserve"> </w:t>
      </w:r>
      <w:r>
        <w:t xml:space="preserve">regenerated automatically from that register on</w:t>
      </w:r>
      <w:r>
        <w:t xml:space="preserve"> </w:t>
      </w:r>
      <w:r>
        <w:t xml:space="preserve">every change, so the matrix cannot drift from the register it summarizes.</w:t>
      </w:r>
    </w:p>
    <w:p>
      <w:pPr>
        <w:pStyle w:val="Compact"/>
        <w:numPr>
          <w:ilvl w:val="0"/>
          <w:numId w:val="1002"/>
        </w:numPr>
      </w:pPr>
      <w:r>
        <w:t xml:space="preserve">The boundary analysis’s honest finding, restated here so this roadmap</w:t>
      </w:r>
      <w:r>
        <w:t xml:space="preserve"> </w:t>
      </w:r>
      <w:r>
        <w:t xml:space="preserve">cannot be read as contradicting it:</w:t>
      </w:r>
      <w:r>
        <w:t xml:space="preserve"> </w:t>
      </w:r>
      <w:r>
        <w:rPr>
          <w:b/>
          <w:bCs/>
        </w:rPr>
        <w:t xml:space="preserve">full compensation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achievable</w:t>
      </w:r>
      <w:r>
        <w:t xml:space="preserve"> </w:t>
      </w:r>
      <w:r>
        <w:t xml:space="preserve">for every gap at GCC Moderate. Gaps divide into compensable</w:t>
      </w:r>
      <w:r>
        <w:t xml:space="preserve"> </w:t>
      </w:r>
      <w:r>
        <w:t xml:space="preserve">(compensating control documented), partially compensable (residual risk</w:t>
      </w:r>
      <w:r>
        <w:t xml:space="preserve"> </w:t>
      </w:r>
      <w:r>
        <w:t xml:space="preserve">accepted and registered), and non-compensable (candidate input to any</w:t>
      </w:r>
      <w:r>
        <w:t xml:space="preserve"> </w:t>
      </w:r>
      <w:r>
        <w:t xml:space="preserve">future boundary-variance discussion).</w:t>
      </w:r>
    </w:p>
    <w:p>
      <w:pPr>
        <w:pStyle w:val="Compact"/>
        <w:numPr>
          <w:ilvl w:val="0"/>
          <w:numId w:val="1002"/>
        </w:numPr>
      </w:pPr>
      <w:r>
        <w:t xml:space="preserve">Boundary</w:t>
      </w:r>
      <w:r>
        <w:t xml:space="preserve"> </w:t>
      </w:r>
      <w:r>
        <w:rPr>
          <w:i/>
          <w:iCs/>
        </w:rPr>
        <w:t xml:space="preserve">expansion</w:t>
      </w:r>
      <w:r>
        <w:t xml:space="preserve"> </w:t>
      </w:r>
      <w:r>
        <w:t xml:space="preserve">analysis (GCC High and above) deliberately lives in</w:t>
      </w:r>
      <w:r>
        <w:t xml:space="preserve"> </w:t>
      </w:r>
      <w:r>
        <w:t xml:space="preserve">that workstream, not in this series — the series is scoped</w:t>
      </w:r>
      <w:r>
        <w:t xml:space="preserve"> </w:t>
      </w:r>
      <w:r>
        <w:rPr>
          <w:b/>
          <w:bCs/>
        </w:rPr>
        <w:t xml:space="preserve">FedRAMP</w:t>
      </w:r>
      <w:r>
        <w:rPr>
          <w:b/>
          <w:bCs/>
        </w:rPr>
        <w:t xml:space="preserve"> </w:t>
      </w:r>
      <w:r>
        <w:rPr>
          <w:b/>
          <w:bCs/>
        </w:rPr>
        <w:t xml:space="preserve">Moderate only</w:t>
      </w:r>
      <w:r>
        <w:t xml:space="preserve">, and boundary-variance decisions are an OIS/CIO</w:t>
      </w:r>
      <w:r>
        <w:t xml:space="preserve"> </w:t>
      </w:r>
      <w:r>
        <w:t xml:space="preserve">governance matter informed by the registers.</w:t>
      </w:r>
    </w:p>
    <w:p>
      <w:pPr>
        <w:pStyle w:val="FirstParagraph"/>
      </w:pPr>
      <w:r>
        <w:t xml:space="preserve">This roadmap</w:t>
      </w:r>
      <w:r>
        <w:t xml:space="preserve"> </w:t>
      </w:r>
      <w:r>
        <w:rPr>
          <w:b/>
          <w:bCs/>
        </w:rPr>
        <w:t xml:space="preserve">defers</w:t>
      </w:r>
      <w:r>
        <w:t xml:space="preserve"> </w:t>
      </w:r>
      <w:r>
        <w:t xml:space="preserve">to that workstream rather than duplicating it. The KSI</w:t>
      </w:r>
      <w:r>
        <w:t xml:space="preserve"> </w:t>
      </w:r>
      <w:r>
        <w:t xml:space="preserve">consequence is already wired: the ScuBA-based rules (KSI-001..010) carry</w:t>
      </w:r>
      <w:r>
        <w:t xml:space="preserve"> </w:t>
      </w:r>
      <w:r>
        <w:t xml:space="preserve">ScubaDrift dispositions that distinguish governed exceptions from actionable</w:t>
      </w:r>
      <w:r>
        <w:t xml:space="preserve"> </w:t>
      </w:r>
      <w:r>
        <w:t xml:space="preserve">drift — a governed exception backed by the gap register is evidence, not a</w:t>
      </w:r>
      <w:r>
        <w:t xml:space="preserve"> </w:t>
      </w:r>
      <w:r>
        <w:t xml:space="preserve">finding.</w:t>
      </w:r>
    </w:p>
    <w:p>
      <w:r>
        <w:pict>
          <v:rect style="width:0;height:1.5pt" o:hralign="center" o:hrstd="t" o:hr="t"/>
        </w:pict>
      </w:r>
    </w:p>
    <w:bookmarkEnd w:id="16"/>
    <w:bookmarkStart w:id="20" w:name="X762be83e485d434b56db2169ec89196cd552733"/>
    <w:p>
      <w:pPr>
        <w:pStyle w:val="Heading2"/>
      </w:pPr>
      <w:r>
        <w:t xml:space="preserve">AAN Series Control Closure (Parts 1–19, All Delivered)</w:t>
      </w:r>
    </w:p>
    <w:bookmarkStart w:id="17" w:name="parts-1-59-34-controls"/>
    <w:p>
      <w:pPr>
        <w:pStyle w:val="Heading3"/>
      </w:pPr>
      <w:r>
        <w:t xml:space="preserve">Parts 1, 5–9 (34 Controls)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Controls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InfoBlox DDI (IPAM/DNS/DHCP/PKI)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5</w:t>
            </w:r>
          </w:p>
        </w:tc>
        <w:tc>
          <w:tcPr/>
          <w:p>
            <w:pPr>
              <w:pStyle w:val="Compact"/>
            </w:pPr>
            <w:r>
              <w:t xml:space="preserve">Entra ID, ZTNA, Active Governance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6</w:t>
            </w:r>
          </w:p>
        </w:tc>
        <w:tc>
          <w:tcPr/>
          <w:p>
            <w:pPr>
              <w:pStyle w:val="Compact"/>
            </w:pPr>
            <w:r>
              <w:t xml:space="preserve">SD-WAN, SASE, UC (Teams Phone, Amazon Connect)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7</w:t>
            </w:r>
          </w:p>
        </w:tc>
        <w:tc>
          <w:tcPr/>
          <w:p>
            <w:pPr>
              <w:pStyle w:val="Compact"/>
            </w:pPr>
            <w:r>
              <w:t xml:space="preserve">SQL Server Authentication Modernization</w:t>
            </w:r>
          </w:p>
        </w:tc>
        <w:tc>
          <w:tcPr/>
          <w:p>
            <w:pPr>
              <w:pStyle w:val="Compact"/>
            </w:pPr>
            <w:r>
              <w:t xml:space="preserve">(depth on IA family)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8</w:t>
            </w:r>
          </w:p>
        </w:tc>
        <w:tc>
          <w:tcPr/>
          <w:p>
            <w:pPr>
              <w:pStyle w:val="Compact"/>
            </w:pPr>
            <w:r>
              <w:t xml:space="preserve">SQL Server Implementation Runbook</w:t>
            </w:r>
          </w:p>
        </w:tc>
        <w:tc>
          <w:tcPr/>
          <w:p>
            <w:pPr>
              <w:pStyle w:val="Compact"/>
            </w:pPr>
            <w:r>
              <w:t xml:space="preserve">(procedural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9</w:t>
            </w:r>
          </w:p>
        </w:tc>
        <w:tc>
          <w:tcPr/>
          <w:p>
            <w:pPr>
              <w:pStyle w:val="Compact"/>
            </w:pPr>
            <w:r>
              <w:t xml:space="preserve">Database Architecture / Network Physics</w:t>
            </w:r>
          </w:p>
        </w:tc>
        <w:tc>
          <w:tcPr/>
          <w:p>
            <w:pPr>
              <w:pStyle w:val="Compact"/>
            </w:pPr>
            <w:r>
              <w:t xml:space="preserve">(depth on SC/SI families)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 distinct controls</w:t>
            </w:r>
          </w:p>
        </w:tc>
      </w:tr>
    </w:tbl>
    <w:bookmarkEnd w:id="17"/>
    <w:bookmarkStart w:id="18" w:name="part-4-6-controls"/>
    <w:p>
      <w:pPr>
        <w:pStyle w:val="Heading3"/>
      </w:pPr>
      <w:r>
        <w:t xml:space="preserve">Part 4 (6 Controls)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Controls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4</w:t>
            </w:r>
          </w:p>
        </w:tc>
        <w:tc>
          <w:tcPr/>
          <w:p>
            <w:pPr>
              <w:pStyle w:val="Compact"/>
            </w:pPr>
            <w:r>
              <w:t xml:space="preserve">HRIT and the Identity &amp; Organizational SSOT (Oracle HCM Cloud as HR system of record; identity slot family, slot-01)</w:t>
            </w:r>
          </w:p>
        </w:tc>
        <w:tc>
          <w:tcPr/>
          <w:p>
            <w:pPr>
              <w:pStyle w:val="Compact"/>
            </w:pPr>
            <w:r>
              <w:t xml:space="preserve">AC-2, AC-2(1), PS-4, PS-5, IA-4, SI-12</w:t>
            </w:r>
          </w:p>
        </w:tc>
      </w:tr>
    </w:tbl>
    <w:bookmarkEnd w:id="18"/>
    <w:bookmarkStart w:id="19" w:name="parts-1019-72-additional-controls"/>
    <w:p>
      <w:pPr>
        <w:pStyle w:val="Heading3"/>
      </w:pPr>
      <w:r>
        <w:t xml:space="preserve">Parts 10–19 (~72+ Additional Controls)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848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Controls /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10</w:t>
            </w:r>
          </w:p>
        </w:tc>
        <w:tc>
          <w:tcPr/>
          <w:p>
            <w:pPr>
              <w:pStyle w:val="Compact"/>
            </w:pPr>
            <w:r>
              <w:t xml:space="preserve">Privileged Access Management (Entra PIM + PAW)</w:t>
            </w:r>
          </w:p>
        </w:tc>
        <w:tc>
          <w:tcPr/>
          <w:p>
            <w:pPr>
              <w:pStyle w:val="Compact"/>
            </w:pPr>
            <w:r>
              <w:t xml:space="preserve">AC-5, AC-6(×7), AC-11/12, IA-11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11</w:t>
            </w:r>
          </w:p>
        </w:tc>
        <w:tc>
          <w:tcPr/>
          <w:p>
            <w:pPr>
              <w:pStyle w:val="Compact"/>
            </w:pPr>
            <w:r>
              <w:t xml:space="preserve">Vulnerability Management (Defender VM + KEV)</w:t>
            </w:r>
          </w:p>
        </w:tc>
        <w:tc>
          <w:tcPr/>
          <w:p>
            <w:pPr>
              <w:pStyle w:val="Compact"/>
            </w:pPr>
            <w:r>
              <w:t xml:space="preserve">RA-5(×3), SI-2(×2), SI-5, CM-7(×2)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12</w:t>
            </w:r>
          </w:p>
        </w:tc>
        <w:tc>
          <w:tcPr/>
          <w:p>
            <w:pPr>
              <w:pStyle w:val="Compact"/>
            </w:pPr>
            <w:r>
              <w:t xml:space="preserve">Data Protection (Purview + Key Vault CMK)</w:t>
            </w:r>
          </w:p>
        </w:tc>
        <w:tc>
          <w:tcPr/>
          <w:p>
            <w:pPr>
              <w:pStyle w:val="Compact"/>
            </w:pPr>
            <w:r>
              <w:t xml:space="preserve">MP-2–5, SC-12/13/17/28, AU-10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13</w:t>
            </w:r>
          </w:p>
        </w:tc>
        <w:tc>
          <w:tcPr/>
          <w:p>
            <w:pPr>
              <w:pStyle w:val="Compact"/>
            </w:pPr>
            <w:r>
              <w:t xml:space="preserve">SIEM / XDR / Detection Engineering (Sentinel)</w:t>
            </w:r>
          </w:p>
        </w:tc>
        <w:tc>
          <w:tcPr/>
          <w:p>
            <w:pPr>
              <w:pStyle w:val="Compact"/>
            </w:pPr>
            <w:r>
              <w:t xml:space="preserve">AU-6(×3), AU-7/8/11, SI-4(×4), IR-4/6/8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14</w:t>
            </w:r>
          </w:p>
        </w:tc>
        <w:tc>
          <w:tcPr/>
          <w:p>
            <w:pPr>
              <w:pStyle w:val="Compact"/>
            </w:pPr>
            <w:r>
              <w:t xml:space="preserve">Business Continuity / Contingency Planning</w:t>
            </w:r>
          </w:p>
        </w:tc>
        <w:tc>
          <w:tcPr/>
          <w:p>
            <w:pPr>
              <w:pStyle w:val="Compact"/>
            </w:pPr>
            <w:r>
              <w:t xml:space="preserve">CP-2(×3), CP-3/4(×2), CP-6/7(×3), CP-8(×2)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15</w:t>
            </w:r>
          </w:p>
        </w:tc>
        <w:tc>
          <w:tcPr/>
          <w:p>
            <w:pPr>
              <w:pStyle w:val="Compact"/>
            </w:pPr>
            <w:r>
              <w:t xml:space="preserve">Supply Chain Risk / SBOM / VDR</w:t>
            </w:r>
          </w:p>
        </w:tc>
        <w:tc>
          <w:tcPr/>
          <w:p>
            <w:pPr>
              <w:pStyle w:val="Compact"/>
            </w:pPr>
            <w:r>
              <w:t xml:space="preserve">SR-1–3/5/6/8/10/11; BOD 26-04 VER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16</w:t>
            </w:r>
          </w:p>
        </w:tc>
        <w:tc>
          <w:tcPr/>
          <w:p>
            <w:pPr>
              <w:pStyle w:val="Compact"/>
            </w:pPr>
            <w:r>
              <w:t xml:space="preserve">Program Management Governance</w:t>
            </w:r>
          </w:p>
        </w:tc>
        <w:tc>
          <w:tcPr/>
          <w:p>
            <w:pPr>
              <w:pStyle w:val="Compact"/>
            </w:pPr>
            <w:r>
              <w:t xml:space="preserve">PM-1/2/5/7/9/11/14/15/30; SCRM charter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17</w:t>
            </w:r>
          </w:p>
        </w:tc>
        <w:tc>
          <w:tcPr/>
          <w:p>
            <w:pPr>
              <w:pStyle w:val="Compact"/>
            </w:pPr>
            <w:r>
              <w:t xml:space="preserve">PII Processing and Transparency</w:t>
            </w:r>
          </w:p>
        </w:tc>
        <w:tc>
          <w:tcPr/>
          <w:p>
            <w:pPr>
              <w:pStyle w:val="Compact"/>
            </w:pPr>
            <w:r>
              <w:t xml:space="preserve">PT-1/2/3/4/5/7; DFL-001..006 data flow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18</w:t>
            </w:r>
          </w:p>
        </w:tc>
        <w:tc>
          <w:tcPr/>
          <w:p>
            <w:pPr>
              <w:pStyle w:val="Compact"/>
            </w:pPr>
            <w:r>
              <w:t xml:space="preserve">Cybersecurity Awareness and Training</w:t>
            </w:r>
          </w:p>
        </w:tc>
        <w:tc>
          <w:tcPr/>
          <w:p>
            <w:pPr>
              <w:pStyle w:val="Compact"/>
            </w:pPr>
            <w:r>
              <w:t xml:space="preserve">AT-2, AT-2(1), AT-2(2), AT-3, AT-3(3), AT-3(5), AT-4, CP-3, IR-2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Package and ConMon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CA-2, CA-5, CA-6, CA-7, CA-7(1), CA-7(3), RA-3, SA-15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Xd6bcb6bb544cfbe9a7c9f2ec6baa6dd6a715faa"/>
    <w:p>
      <w:pPr>
        <w:pStyle w:val="Heading2"/>
      </w:pPr>
      <w:r>
        <w:t xml:space="preserve">Conformance Adapter / OSCAL Emitter — Current State</w:t>
      </w:r>
    </w:p>
    <w:p>
      <w:pPr>
        <w:pStyle w:val="FirstParagraph"/>
      </w:pPr>
      <w:r>
        <w:rPr>
          <w:b/>
          <w:bCs/>
        </w:rPr>
        <w:t xml:space="preserve">As of 2026-07-04 (post Part 18 / all 29 KSIs active):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8 surface slots bound to AAN evidence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OSCAL Emitter: AP + AR + POAM bundle</w:t>
            </w:r>
          </w:p>
        </w:tc>
        <w:tc>
          <w:tcPr/>
          <w:p>
            <w:pPr>
              <w:pStyle w:val="Compact"/>
            </w:pPr>
            <w:r>
              <w:t xml:space="preserve">✓ complete (</w:t>
            </w:r>
            <w:r>
              <w:rPr>
                <w:rStyle w:val="VerbatimChar"/>
              </w:rPr>
              <w:t xml:space="preserve">uiao oscal bundle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 mapping (KSI-001..029)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engine wired for active rules</w:t>
            </w:r>
          </w:p>
        </w:tc>
        <w:tc>
          <w:tcPr/>
          <w:p>
            <w:pPr>
              <w:pStyle w:val="Compact"/>
            </w:pPr>
            <w:r>
              <w:t xml:space="preserve">✓ all 29 KSI rules active (0 scaffold)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 scaffolds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— KSI-022 was the last scaffold (closed July 4, 2026)</w:t>
            </w:r>
          </w:p>
        </w:tc>
      </w:tr>
    </w:tbl>
    <w:bookmarkStart w:id="21" w:name="slot-bindings-all-8-slots"/>
    <w:p>
      <w:pPr>
        <w:pStyle w:val="Heading3"/>
      </w:pPr>
      <w:r>
        <w:t xml:space="preserve">Slot bindings (all 8 slots):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KSI 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slot-01 identity</w:t>
            </w:r>
          </w:p>
        </w:tc>
        <w:tc>
          <w:tcPr/>
          <w:p>
            <w:pPr>
              <w:pStyle w:val="Compact"/>
            </w:pPr>
            <w:r>
              <w:t xml:space="preserve">Parts 3, 4, 5, 10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slot-02 data</w:t>
            </w:r>
          </w:p>
        </w:tc>
        <w:tc>
          <w:tcPr/>
          <w:p>
            <w:pPr>
              <w:pStyle w:val="Compact"/>
            </w:pPr>
            <w:r>
              <w:t xml:space="preserve">Parts 12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slot-03 network</w:t>
            </w:r>
          </w:p>
        </w:tc>
        <w:tc>
          <w:tcPr/>
          <w:p>
            <w:pPr>
              <w:pStyle w:val="Compact"/>
            </w:pPr>
            <w:r>
              <w:t xml:space="preserve">Parts 1, 2, 6</w:t>
            </w:r>
          </w:p>
        </w:tc>
        <w:tc>
          <w:tcPr/>
          <w:p>
            <w:pPr>
              <w:pStyle w:val="Compact"/>
            </w:pPr>
            <w:r>
              <w:t xml:space="preserve">KSI-CNA, KSI-SVC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slot-04 telemetry</w:t>
            </w:r>
          </w:p>
        </w:tc>
        <w:tc>
          <w:tcPr/>
          <w:p>
            <w:pPr>
              <w:pStyle w:val="Compact"/>
            </w:pPr>
            <w:r>
              <w:t xml:space="preserve">Parts 11, 12, 13</w:t>
            </w:r>
          </w:p>
        </w:tc>
        <w:tc>
          <w:tcPr/>
          <w:p>
            <w:pPr>
              <w:pStyle w:val="Compact"/>
            </w:pPr>
            <w:r>
              <w:t xml:space="preserve">KSI-MLA, KSI-INR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slot-05 endpoint</w:t>
            </w:r>
          </w:p>
        </w:tc>
        <w:tc>
          <w:tcPr/>
          <w:p>
            <w:pPr>
              <w:pStyle w:val="Compact"/>
            </w:pPr>
            <w:r>
              <w:t xml:space="preserve">Parts 2, 10, 11, 17</w:t>
            </w:r>
          </w:p>
        </w:tc>
        <w:tc>
          <w:tcPr/>
          <w:p>
            <w:pPr>
              <w:pStyle w:val="Compact"/>
            </w:pPr>
            <w:r>
              <w:t xml:space="preserve">KSI-PIY,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slot-06 security</w:t>
            </w:r>
          </w:p>
        </w:tc>
        <w:tc>
          <w:tcPr/>
          <w:p>
            <w:pPr>
              <w:pStyle w:val="Compact"/>
            </w:pPr>
            <w:r>
              <w:t xml:space="preserve">Parts 11, 13, 15, 16</w:t>
            </w:r>
          </w:p>
        </w:tc>
        <w:tc>
          <w:tcPr/>
          <w:p>
            <w:pPr>
              <w:pStyle w:val="Compact"/>
            </w:pPr>
            <w:r>
              <w:t xml:space="preserve">KSI-CMT, KSI-SCR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slot-07 continuity</w:t>
            </w:r>
          </w:p>
        </w:tc>
        <w:tc>
          <w:tcPr/>
          <w:p>
            <w:pPr>
              <w:pStyle w:val="Compact"/>
            </w:pPr>
            <w:r>
              <w:t xml:space="preserve">Part 14</w:t>
            </w:r>
          </w:p>
        </w:tc>
        <w:tc>
          <w:tcPr/>
          <w:p>
            <w:pPr>
              <w:pStyle w:val="Compact"/>
            </w:pPr>
            <w:r>
              <w:t xml:space="preserve">KSI-RPL, KSI-INR, KSI-CED (partial CP-3)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slot-08 training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KSI-CED (KSI-CED-RAT, high confidence)</w:t>
            </w:r>
          </w:p>
        </w:tc>
      </w:tr>
    </w:tbl>
    <w:bookmarkEnd w:id="21"/>
    <w:bookmarkStart w:id="22" w:name="rule-status-summary"/>
    <w:p>
      <w:pPr>
        <w:pStyle w:val="Heading3"/>
      </w:pPr>
      <w:r>
        <w:t xml:space="preserve">Rule status summary:</w:t>
      </w:r>
    </w:p>
    <w:p>
      <w:pPr>
        <w:pStyle w:val="FirstParagraph"/>
      </w:pPr>
      <w:r>
        <w:rPr>
          <w:b/>
          <w:bCs/>
        </w:rPr>
        <w:t xml:space="preserve">Coverage gap.</w:t>
      </w:r>
      <w:r>
        <w:t xml:space="preserve"> </w:t>
      </w:r>
      <w:r>
        <w:t xml:space="preserve">The ScuBA-based rules cover KSI-001..010 — 10 of the 29</w:t>
      </w:r>
      <w:r>
        <w:t xml:space="preserve"> </w:t>
      </w:r>
      <w:r>
        <w:t xml:space="preserve">active KSI rules. The remaining 19 rules bind to evidence slots that exist only</w:t>
      </w:r>
      <w:r>
        <w:t xml:space="preserve"> </w:t>
      </w:r>
      <w:r>
        <w:t xml:space="preserve">because the architecture in Parts 1–18 was built: conformance tooling measures</w:t>
      </w:r>
      <w:r>
        <w:t xml:space="preserve"> </w:t>
      </w:r>
      <w:r>
        <w:t xml:space="preserve">drift from an intended state; it cannot author one. The authoritative</w:t>
      </w:r>
      <w:r>
        <w:t xml:space="preserve"> </w:t>
      </w:r>
      <w:r>
        <w:t xml:space="preserve">rule-by-rule view (closing technology, conformance-tool attestability, evidence</w:t>
      </w:r>
      <w:r>
        <w:t xml:space="preserve"> </w:t>
      </w:r>
      <w:r>
        <w:t xml:space="preserve">slot, series Part) is maintained in Book 00, section</w:t>
      </w:r>
      <w:r>
        <w:t xml:space="preserve"> </w:t>
      </w:r>
      <w:r>
        <w:t xml:space="preserve">“The KSI Closure Necessity</w:t>
      </w:r>
      <w:r>
        <w:t xml:space="preserve"> </w:t>
      </w:r>
      <w:r>
        <w:t xml:space="preserve">Matrix.”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(slot evaluator, high confidence)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KSI-011..016, KSI-017..022, KSI-023..029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(ScuBA-based; ScubaDrift-verdict-backed, no slot binding)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KSI-001..010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 (evidence contract incomplete)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3" w:name="sequenced-implementation-plan"/>
    <w:p>
      <w:pPr>
        <w:pStyle w:val="Heading2"/>
      </w:pPr>
      <w:r>
        <w:t xml:space="preserve">Sequenced Implementation Plan</w:t>
      </w:r>
    </w:p>
    <w:bookmarkStart w:id="24" w:name="phase-0-immediate-july-2026-complete"/>
    <w:p>
      <w:pPr>
        <w:pStyle w:val="Heading3"/>
      </w:pPr>
      <w:r>
        <w:t xml:space="preserve">Phase 0 — Immediate (July 2026) ✓ Complete</w:t>
      </w:r>
    </w:p>
    <w:p>
      <w:pPr>
        <w:pStyle w:val="Compact"/>
        <w:numPr>
          <w:ilvl w:val="0"/>
          <w:numId w:val="1003"/>
        </w:numPr>
      </w:pPr>
      <w:r>
        <w:t xml:space="preserve">Parts 1, 5–9 delivered (34 controls)</w:t>
      </w:r>
    </w:p>
    <w:p>
      <w:pPr>
        <w:pStyle w:val="Compact"/>
        <w:numPr>
          <w:ilvl w:val="0"/>
          <w:numId w:val="1004"/>
        </w:numPr>
      </w:pPr>
      <w:r>
        <w:t xml:space="preserve">Parts 10–14 delivered (~55 controls)</w:t>
      </w:r>
    </w:p>
    <w:p>
      <w:pPr>
        <w:pStyle w:val="Compact"/>
        <w:numPr>
          <w:ilvl w:val="0"/>
          <w:numId w:val="1005"/>
        </w:numPr>
      </w:pPr>
      <w:r>
        <w:t xml:space="preserve">Conformance Adapter surface slots 1–4 bound to AAN evidence</w:t>
      </w:r>
    </w:p>
    <w:bookmarkEnd w:id="24"/>
    <w:bookmarkStart w:id="25" w:name="phase-1-completed-2026-07-03"/>
    <w:p>
      <w:pPr>
        <w:pStyle w:val="Heading3"/>
      </w:pPr>
      <w:r>
        <w:t xml:space="preserve">Phase 1 — Completed 2026-07-03 ✓</w:t>
      </w:r>
    </w:p>
    <w:p>
      <w:pPr>
        <w:pStyle w:val="Compact"/>
        <w:numPr>
          <w:ilvl w:val="0"/>
          <w:numId w:val="1006"/>
        </w:numPr>
      </w:pPr>
      <w:r>
        <w:t xml:space="preserve">Part 15: SR / SBOM / VDR framework (Book_15 — BOD 26-04 tiers, Syft, Grype, OpenVEX)</w:t>
      </w:r>
    </w:p>
    <w:p>
      <w:pPr>
        <w:pStyle w:val="Compact"/>
        <w:numPr>
          <w:ilvl w:val="0"/>
          <w:numId w:val="1007"/>
        </w:numPr>
      </w:pPr>
      <w:r>
        <w:t xml:space="preserve">Conformance Adapter SR/security slots bound (slot-05 endpoint, slot-06 security)</w:t>
      </w:r>
    </w:p>
    <w:p>
      <w:pPr>
        <w:pStyle w:val="Compact"/>
        <w:numPr>
          <w:ilvl w:val="0"/>
          <w:numId w:val="1008"/>
        </w:numPr>
      </w:pPr>
      <w:r>
        <w:t xml:space="preserve">KSI-011–014 mapping confidence upgraded low → high (VER contract via Part 15 + slot-06)</w:t>
      </w:r>
    </w:p>
    <w:bookmarkEnd w:id="25"/>
    <w:bookmarkStart w:id="26" w:name="phase-2-completed-2026-07-03"/>
    <w:p>
      <w:pPr>
        <w:pStyle w:val="Heading3"/>
      </w:pPr>
      <w:r>
        <w:t xml:space="preserve">Phase 2 — Completed 2026-07-03 ✓</w:t>
      </w:r>
    </w:p>
    <w:p>
      <w:pPr>
        <w:pStyle w:val="Compact"/>
        <w:numPr>
          <w:ilvl w:val="0"/>
          <w:numId w:val="1009"/>
        </w:numPr>
      </w:pPr>
      <w:r>
        <w:t xml:space="preserve">OSCAL Emitter extended to produce AR with KSI verdicts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src/uiao/oscal/ksi_ar.py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uiao oscal ksi-ar</w:t>
      </w:r>
      <w:r>
        <w:t xml:space="preserve"> </w:t>
      </w:r>
      <w:r>
        <w:t xml:space="preserve">CLI, 22 tests)</w:t>
      </w:r>
    </w:p>
    <w:p>
      <w:pPr>
        <w:pStyle w:val="Compact"/>
        <w:numPr>
          <w:ilvl w:val="0"/>
          <w:numId w:val="1010"/>
        </w:numPr>
      </w:pPr>
      <w:r>
        <w:t xml:space="preserve">Part 16: PM governance artifact templates (Book_16 — PM-1/2/5/7/9/11/14/15/30,</w:t>
      </w:r>
      <w:r>
        <w:t xml:space="preserve"> </w:t>
      </w:r>
      <w:r>
        <w:t xml:space="preserve">SCRM charter satisfying PM-30)</w:t>
      </w:r>
    </w:p>
    <w:p>
      <w:pPr>
        <w:pStyle w:val="Compact"/>
        <w:numPr>
          <w:ilvl w:val="0"/>
          <w:numId w:val="1011"/>
        </w:numPr>
      </w:pPr>
      <w:r>
        <w:t xml:space="preserve">CR26 rules for SR/PM families (KSI-015 KSI-SCR-MIT + KSI-016 KSI-SCR-MON → active)</w:t>
      </w:r>
    </w:p>
    <w:bookmarkEnd w:id="26"/>
    <w:bookmarkStart w:id="27" w:name="phase-3-completed-2026-07-03"/>
    <w:p>
      <w:pPr>
        <w:pStyle w:val="Heading3"/>
      </w:pPr>
      <w:r>
        <w:t xml:space="preserve">Phase 3 — Completed 2026-07-03 ✓</w:t>
      </w:r>
    </w:p>
    <w:p>
      <w:pPr>
        <w:pStyle w:val="Compact"/>
        <w:numPr>
          <w:ilvl w:val="0"/>
          <w:numId w:val="1012"/>
        </w:numPr>
      </w:pPr>
      <w:r>
        <w:t xml:space="preserve">Part 17: PT / PII processing templates (Book_17 — PT-1/2/3/4/5/7,</w:t>
      </w:r>
      <w:r>
        <w:t xml:space="preserve"> </w:t>
      </w:r>
      <w:r>
        <w:t xml:space="preserve">PII data flow map DFL-001..006, Purview Data Map integration)</w:t>
      </w:r>
    </w:p>
    <w:p>
      <w:pPr>
        <w:pStyle w:val="Compact"/>
        <w:numPr>
          <w:ilvl w:val="0"/>
          <w:numId w:val="1013"/>
        </w:numPr>
      </w:pPr>
      <w:r>
        <w:t xml:space="preserve">KSI-PIY scaffold rules (KSI-017..021 → KSI-PIY-GIV/RES/RIS/RSD/RVD; active)</w:t>
      </w:r>
    </w:p>
    <w:p>
      <w:pPr>
        <w:pStyle w:val="Compact"/>
        <w:numPr>
          <w:ilvl w:val="0"/>
          <w:numId w:val="1014"/>
        </w:numPr>
      </w:pPr>
      <w:r>
        <w:t xml:space="preserve">First complete OSCAL AP+AR+POAM bundle generated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ksi_ap.py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ksi_poam.py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uiao oscal bundle</w:t>
      </w:r>
      <w:r>
        <w:t xml:space="preserve">; BOD 26-04 milestones wired)</w:t>
      </w:r>
    </w:p>
    <w:bookmarkEnd w:id="27"/>
    <w:bookmarkStart w:id="28" w:name="phase-4-completed-2026-07-03"/>
    <w:p>
      <w:pPr>
        <w:pStyle w:val="Heading3"/>
      </w:pPr>
      <w:r>
        <w:t xml:space="preserve">Phase 4 — Completed 2026-07-03 ✓</w:t>
      </w:r>
    </w:p>
    <w:p>
      <w:pPr>
        <w:pStyle w:val="Compact"/>
        <w:numPr>
          <w:ilvl w:val="0"/>
          <w:numId w:val="1015"/>
        </w:numPr>
      </w:pPr>
      <w:r>
        <w:t xml:space="preserve">CR26 breadth gaps filled: CED/INR/RPL scaffold rules added (KSI-022..029)</w:t>
      </w:r>
    </w:p>
    <w:p>
      <w:pPr>
        <w:pStyle w:val="Compact"/>
        <w:numPr>
          <w:ilvl w:val="0"/>
          <w:numId w:val="1016"/>
        </w:numPr>
      </w:pPr>
      <w:r>
        <w:t xml:space="preserve">Slot-07 continuity binding (Part 14 → CP-2/4/6/7/8/9/10, IR-3 — KSI-RPL/INR/CED)</w:t>
      </w:r>
    </w:p>
    <w:p>
      <w:pPr>
        <w:pStyle w:val="Compact"/>
        <w:numPr>
          <w:ilvl w:val="0"/>
          <w:numId w:val="1017"/>
        </w:numPr>
      </w:pPr>
      <w:r>
        <w:t xml:space="preserve">Evaluation engine wired: 15 scaffold rules activated</w:t>
      </w:r>
      <w:r>
        <w:t xml:space="preserve"> </w:t>
      </w:r>
      <w:r>
        <w:t xml:space="preserve">(KSI-011..014, KSI-017..019, KSI-021, KSI-023..029 → Status: active)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slot_evaluator.py</w:t>
      </w:r>
      <w:r>
        <w:t xml:space="preserve"> </w:t>
      </w:r>
      <w:r>
        <w:t xml:space="preserve">module: evaluate_slot / evaluate_rule / binding index bridge</w:t>
      </w:r>
    </w:p>
    <w:p>
      <w:pPr>
        <w:pStyle w:val="Compact"/>
        <w:numPr>
          <w:ilvl w:val="0"/>
          <w:numId w:val="1019"/>
        </w:numPr>
      </w:pPr>
      <w:r>
        <w:t xml:space="preserve">All 10 KSI themes now have local-rule coverage (zero-gap themes: none)</w:t>
      </w:r>
    </w:p>
    <w:bookmarkEnd w:id="28"/>
    <w:bookmarkStart w:id="29" w:name="phase-5-completed-2026-07-04"/>
    <w:p>
      <w:pPr>
        <w:pStyle w:val="Heading3"/>
      </w:pPr>
      <w:r>
        <w:t xml:space="preserve">Phase 5 — Completed 2026-07-04 ✓</w:t>
      </w:r>
    </w:p>
    <w:p>
      <w:pPr>
        <w:pStyle w:val="Compact"/>
        <w:numPr>
          <w:ilvl w:val="0"/>
          <w:numId w:val="1020"/>
        </w:numPr>
      </w:pPr>
      <w:r>
        <w:t xml:space="preserve">Part 18: AT / CED training program (Book_18 — AT-2, AT-2(1), AT-2(2), AT-3,</w:t>
      </w:r>
      <w:r>
        <w:t xml:space="preserve"> </w:t>
      </w:r>
      <w:r>
        <w:t xml:space="preserve">AT-3(3), AT-3(5), AT-4, CP-3, IR-2; four-dimension training model)</w:t>
      </w:r>
    </w:p>
    <w:p>
      <w:pPr>
        <w:pStyle w:val="Compact"/>
        <w:numPr>
          <w:ilvl w:val="0"/>
          <w:numId w:val="1021"/>
        </w:numPr>
      </w:pPr>
      <w:r>
        <w:t xml:space="preserve">slot-08 training-evidence.yaml: Part 18 AT family → KSI-CED-RAT at high confidence</w:t>
      </w:r>
    </w:p>
    <w:p>
      <w:pPr>
        <w:pStyle w:val="Compact"/>
        <w:numPr>
          <w:ilvl w:val="0"/>
          <w:numId w:val="1022"/>
        </w:numPr>
      </w:pPr>
      <w:r>
        <w:t xml:space="preserve">KSI-022 (KSI-CED-RAT) upgraded: scaffold → active, confidence low → high</w:t>
      </w:r>
    </w:p>
    <w:p>
      <w:pPr>
        <w:pStyle w:val="Compact"/>
        <w:numPr>
          <w:ilvl w:val="0"/>
          <w:numId w:val="1023"/>
        </w:numPr>
      </w:pPr>
      <w:r>
        <w:t xml:space="preserve">governance.training-effectiveness-record JSON schema (AT-4 evidence contract);</w:t>
      </w:r>
      <w:r>
        <w:t xml:space="preserve"> </w:t>
      </w:r>
      <w:r>
        <w:t xml:space="preserve">exported via Viva Learning Graph API; evaluated by slot_evaluator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All 29 internal KSI-decomposition rules now evaluable at high confidence — zero scaffold rules remain</w:t>
      </w:r>
    </w:p>
    <w:p>
      <w:pPr>
        <w:pStyle w:val="Compact"/>
        <w:numPr>
          <w:ilvl w:val="0"/>
          <w:numId w:val="1025"/>
        </w:numPr>
      </w:pPr>
      <w:r>
        <w:t xml:space="preserve">Book_00 Executive Summary updated to fifteen-book series</w:t>
      </w:r>
    </w:p>
    <w:bookmarkEnd w:id="29"/>
    <w:bookmarkStart w:id="30" w:name="phase-6-completed-2026-07-05"/>
    <w:p>
      <w:pPr>
        <w:pStyle w:val="Heading3"/>
      </w:pPr>
      <w:r>
        <w:t xml:space="preserve">Phase 6 — Completed 2026-07-05 ✓</w:t>
      </w:r>
    </w:p>
    <w:p>
      <w:pPr>
        <w:pStyle w:val="Compact"/>
        <w:numPr>
          <w:ilvl w:val="0"/>
          <w:numId w:val="1026"/>
        </w:numPr>
      </w:pPr>
      <w:r>
        <w:t xml:space="preserve">Part 19: Authorization package + ConMon program (Book_19 — CA-2, CA-5, CA-6,</w:t>
      </w:r>
      <w:r>
        <w:t xml:space="preserve"> </w:t>
      </w:r>
      <w:r>
        <w:t xml:space="preserve">CA-7, CA-7(1), CA-7(3), RA-3, SA-15)</w:t>
      </w:r>
    </w:p>
    <w:p>
      <w:pPr>
        <w:pStyle w:val="Compact"/>
        <w:numPr>
          <w:ilvl w:val="0"/>
          <w:numId w:val="1027"/>
        </w:numPr>
      </w:pPr>
      <w:r>
        <w:t xml:space="preserve">OSCAL bundle generated and committed (</w:t>
      </w:r>
      <w:r>
        <w:rPr>
          <w:rStyle w:val="VerbatimChar"/>
        </w:rPr>
        <w:t xml:space="preserve">output/artifacts/ksi-bundle/</w:t>
      </w:r>
      <w:r>
        <w:t xml:space="preserve">):</w:t>
      </w:r>
      <w:r>
        <w:t xml:space="preserve"> </w:t>
      </w:r>
      <w:r>
        <w:t xml:space="preserve">29/29 of the series’ internal KSI decomposition self-assessed satisfied, 0 open in</w:t>
      </w:r>
      <w:r>
        <w:t xml:space="preserve"> </w:t>
      </w:r>
      <w:r>
        <w:t xml:space="preserve">that rule set, 0 POA&amp;M items, 8 evidence slots bound —</w:t>
      </w:r>
      <w:r>
        <w:t xml:space="preserve"> </w:t>
      </w:r>
      <w:r>
        <w:rPr>
          <w:b/>
          <w:bCs/>
        </w:rPr>
        <w:t xml:space="preserve">pending CR26</w:t>
      </w:r>
      <w:r>
        <w:rPr>
          <w:b/>
          <w:bCs/>
        </w:rPr>
        <w:t xml:space="preserve"> </w:t>
      </w:r>
      <w:r>
        <w:rPr>
          <w:b/>
          <w:bCs/>
        </w:rPr>
        <w:t xml:space="preserve">rule-ID reconciliation and independent SCA</w:t>
      </w:r>
      <w:r>
        <w:t xml:space="preserve"> </w:t>
      </w:r>
      <w:r>
        <w:t xml:space="preserve">(POA&amp;M expected non-empty once</w:t>
      </w:r>
      <w:r>
        <w:t xml:space="preserve"> </w:t>
      </w:r>
      <w:r>
        <w:t xml:space="preserve">mapped/assessed; see the KSI-count reconciliation open item above)</w:t>
      </w:r>
    </w:p>
    <w:p>
      <w:pPr>
        <w:pStyle w:val="Compact"/>
        <w:numPr>
          <w:ilvl w:val="0"/>
          <w:numId w:val="1028"/>
        </w:numPr>
      </w:pPr>
      <w:r>
        <w:t xml:space="preserve">ScuBA guard wired in</w:t>
      </w:r>
      <w:r>
        <w:t xml:space="preserve"> </w:t>
      </w:r>
      <w:r>
        <w:rPr>
          <w:rStyle w:val="VerbatimChar"/>
        </w:rPr>
        <w:t xml:space="preserve">ksi_ar.py</w:t>
      </w:r>
      <w:r>
        <w:t xml:space="preserve">: KSI-001..010 always satisfied via CISA</w:t>
      </w:r>
      <w:r>
        <w:t xml:space="preserve"> </w:t>
      </w:r>
      <w:r>
        <w:t xml:space="preserve">ScuBAGear adapter without entering slot evaluator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superseded 2026-07-05 by ScubaDrift evidence-backed verdicts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scubadrift triage --json</w:t>
      </w:r>
      <w:r>
        <w:t xml:space="preserve"> </w:t>
      </w:r>
      <w:r>
        <w:t xml:space="preserve">dispositions →</w:t>
      </w:r>
      <w:r>
        <w:t xml:space="preserve"> </w:t>
      </w:r>
      <w:r>
        <w:rPr>
          <w:rStyle w:val="VerbatimChar"/>
        </w:rPr>
        <w:t xml:space="preserve">uiao oscal scuba-verdicts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output/artifacts/ksi-bundle/scubadrift-verdicts.json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ksi_ar.py</w:t>
      </w:r>
      <w:r>
        <w:t xml:space="preserve">;</w:t>
      </w:r>
      <w:r>
        <w:t xml:space="preserve"> </w:t>
      </w:r>
      <w:r>
        <w:t xml:space="preserve">each of KSI-001..010 now carries per-policy result, disposition</w:t>
      </w:r>
      <w:r>
        <w:t xml:space="preserve"> </w:t>
      </w:r>
      <w:r>
        <w:t xml:space="preserve">(actionable_new_drift / lapsed_acceptance / governed_exception),</w:t>
      </w:r>
      <w:r>
        <w:t xml:space="preserve"> </w:t>
      </w:r>
      <w:r>
        <w:t xml:space="preserve">POA&amp;M ticket, and expiry — no rule is</w:t>
      </w:r>
      <w:r>
        <w:t xml:space="preserve"> </w:t>
      </w:r>
      <w:r>
        <w:t xml:space="preserve">“always satisfied”</w:t>
      </w:r>
      <w:r>
        <w:t xml:space="preserve"> </w:t>
      </w:r>
      <w:r>
        <w:t xml:space="preserve">(see</w:t>
      </w:r>
      <w:r>
        <w:t xml:space="preserve"> </w:t>
      </w:r>
      <w:r>
        <w:t xml:space="preserve">Book_19 §3.2,</w:t>
      </w:r>
      <w:r>
        <w:t xml:space="preserve"> </w:t>
      </w:r>
      <w:r>
        <w:t xml:space="preserve">“The ScubaDrift Disposition Pipeline”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Authorization package structure documented: SSP, SAR, POA&amp;M, OSCAL bundle</w:t>
      </w:r>
    </w:p>
    <w:p>
      <w:pPr>
        <w:pStyle w:val="Compact"/>
        <w:numPr>
          <w:ilvl w:val="0"/>
          <w:numId w:val="1030"/>
        </w:numPr>
      </w:pPr>
      <w:r>
        <w:t xml:space="preserve">BOD 26-04 VDR/VER submission procedure documented (December 7, 2026 deadline)</w:t>
      </w:r>
      <w:r>
        <w:t xml:space="preserve"> </w:t>
      </w:r>
      <w:r>
        <w:t xml:space="preserve">— machine-readable SBOM from Syft + Grype + OpenVEX (Part 15 pipeline)</w:t>
      </w:r>
    </w:p>
    <w:p>
      <w:pPr>
        <w:pStyle w:val="Compact"/>
        <w:numPr>
          <w:ilvl w:val="0"/>
          <w:numId w:val="1031"/>
        </w:numPr>
      </w:pPr>
      <w:r>
        <w:t xml:space="preserve">CA-7 ConMon program: monthly/quarterly/semi-annual/annual cadence defined</w:t>
      </w:r>
    </w:p>
    <w:p>
      <w:pPr>
        <w:pStyle w:val="Compact"/>
        <w:numPr>
          <w:ilvl w:val="0"/>
          <w:numId w:val="1032"/>
        </w:numPr>
      </w:pPr>
      <w:r>
        <w:t xml:space="preserve">Book_00 Executive Summary updated to sixteen-book series; Phase 6 roadmap added</w:t>
      </w:r>
    </w:p>
    <w:bookmarkEnd w:id="30"/>
    <w:bookmarkStart w:id="31" w:name="X9a778112191957761f95d8c82818c114f2d4447"/>
    <w:p>
      <w:pPr>
        <w:pStyle w:val="Heading3"/>
      </w:pPr>
      <w:r>
        <w:t xml:space="preserve">Phase 7 — Agency Authorization Decision (SSA AO)</w:t>
      </w:r>
    </w:p>
    <w:p>
      <w:pPr>
        <w:pStyle w:val="Compact"/>
        <w:numPr>
          <w:ilvl w:val="0"/>
          <w:numId w:val="1033"/>
        </w:numPr>
      </w:pPr>
      <w:r>
        <w:t xml:space="preserve">Authorization package presented to the SSA AO for the RMF authorization decision; inherited CSOs tracked against their own 20x Class C timelines (window opens Aug 31, 2026)</w:t>
      </w:r>
    </w:p>
    <w:p>
      <w:pPr>
        <w:pStyle w:val="Compact"/>
        <w:numPr>
          <w:ilvl w:val="0"/>
          <w:numId w:val="1034"/>
        </w:numPr>
      </w:pPr>
      <w:r>
        <w:t xml:space="preserve">BOD 26-04 VDR/VER artifacts submitted to CISA (December 7, 2026 hard deadline)</w:t>
      </w:r>
    </w:p>
    <w:p>
      <w:pPr>
        <w:pStyle w:val="Compact"/>
        <w:numPr>
          <w:ilvl w:val="0"/>
          <w:numId w:val="1035"/>
        </w:numPr>
      </w:pPr>
      <w:r>
        <w:t xml:space="preserve">Agency ATO issued by the SSA AO; leveraged FedRAMP authorizations documented as inherited controls in the SSP</w:t>
      </w:r>
    </w:p>
    <w:bookmarkEnd w:id="31"/>
    <w:bookmarkStart w:id="32" w:name="phase-8-ongoing-conmon-post-ato-active"/>
    <w:p>
      <w:pPr>
        <w:pStyle w:val="Heading3"/>
      </w:pPr>
      <w:r>
        <w:t xml:space="preserve">Phase 8 — Ongoing ConMon (Post-ATO) 🔄 Active</w:t>
      </w:r>
    </w:p>
    <w:p>
      <w:pPr>
        <w:pStyle w:val="Compact"/>
        <w:numPr>
          <w:ilvl w:val="0"/>
          <w:numId w:val="1036"/>
        </w:numPr>
      </w:pPr>
      <w:r>
        <w:t xml:space="preserve">ConMon program documented (Book_19, Section 3)</w:t>
      </w:r>
    </w:p>
    <w:p>
      <w:pPr>
        <w:pStyle w:val="Compact"/>
        <w:numPr>
          <w:ilvl w:val="0"/>
          <w:numId w:val="1037"/>
        </w:numPr>
      </w:pPr>
      <w:r>
        <w:t xml:space="preserve">Monthly:</w:t>
      </w:r>
      <w:r>
        <w:t xml:space="preserve"> </w:t>
      </w:r>
      <w:r>
        <w:rPr>
          <w:rStyle w:val="VerbatimChar"/>
        </w:rPr>
        <w:t xml:space="preserve">uiao oscal bundle</w:t>
      </w:r>
      <w:r>
        <w:t xml:space="preserve"> </w:t>
      </w:r>
      <w:r>
        <w:t xml:space="preserve">AR refresh; CISA ScuBA assessment; POA&amp;M check</w:t>
      </w:r>
    </w:p>
    <w:p>
      <w:pPr>
        <w:pStyle w:val="Compact"/>
        <w:numPr>
          <w:ilvl w:val="0"/>
          <w:numId w:val="1038"/>
        </w:numPr>
      </w:pPr>
      <w:r>
        <w:t xml:space="preserve">Quarterly: KSI evidence quality review; training completion review (AT-4/KSI-022)</w:t>
      </w:r>
    </w:p>
    <w:p>
      <w:pPr>
        <w:pStyle w:val="Compact"/>
        <w:numPr>
          <w:ilvl w:val="0"/>
          <w:numId w:val="1039"/>
        </w:numPr>
      </w:pPr>
      <w:r>
        <w:t xml:space="preserve">Semi-annual: IR drill (IR-2, Part 18); CP tabletop (CP-3, Part 14)</w:t>
      </w:r>
    </w:p>
    <w:p>
      <w:pPr>
        <w:pStyle w:val="Compact"/>
        <w:numPr>
          <w:ilvl w:val="0"/>
          <w:numId w:val="1040"/>
        </w:numPr>
      </w:pPr>
      <w:r>
        <w:t xml:space="preserve">Annual: Full KSI re-assessment; AT-2 training refresh; ATO renewal preparation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chnology-recommendations-by-gap"/>
    <w:p>
      <w:pPr>
        <w:pStyle w:val="Heading2"/>
      </w:pPr>
      <w:r>
        <w:t xml:space="preserve">Technology Recommendations by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6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 Area</w:t>
            </w:r>
          </w:p>
        </w:tc>
        <w:tc>
          <w:tcPr/>
          <w:p>
            <w:pPr>
              <w:pStyle w:val="Compact"/>
            </w:pPr>
            <w:r>
              <w:t xml:space="preserve">Recommended Technology /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 generation</w:t>
            </w:r>
          </w:p>
        </w:tc>
        <w:tc>
          <w:tcPr/>
          <w:p>
            <w:pPr>
              <w:pStyle w:val="Compact"/>
            </w:pPr>
            <w:r>
              <w:t xml:space="preserve">Syft (Anchore) or Trivy — integrated into CI/CD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VDR format</w:t>
            </w:r>
          </w:p>
        </w:tc>
        <w:tc>
          <w:tcPr/>
          <w:p>
            <w:pPr>
              <w:pStyle w:val="Compact"/>
            </w:pPr>
            <w:r>
              <w:t xml:space="preserve">CycloneDX 1.6 (XML or JSON) — CISA-preferred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submission</w:t>
            </w:r>
          </w:p>
        </w:tc>
        <w:tc>
          <w:tcPr/>
          <w:p>
            <w:pPr>
              <w:pStyle w:val="Compact"/>
            </w:pPr>
            <w:r>
              <w:t xml:space="preserve">CISA VEX Portal or email per BOD 26-04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AT-4 evidence export</w:t>
            </w:r>
          </w:p>
        </w:tc>
        <w:tc>
          <w:tcPr/>
          <w:p>
            <w:pPr>
              <w:pStyle w:val="Compact"/>
            </w:pPr>
            <w:r>
              <w:t xml:space="preserve">Microsoft Viva Learning Graph API → training-effectiveness-record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OSCAL AP/AR/POAM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uiao oscal bundle</w:t>
            </w:r>
            <w:r>
              <w:t xml:space="preserve"> </w:t>
            </w:r>
            <w:r>
              <w:t xml:space="preserve">— complete AP+AR+POAM via Python emitter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an internal UIAO working artifact. It does not constitute an</w:t>
      </w:r>
      <w:r>
        <w:rPr>
          <w:i/>
          <w:iCs/>
        </w:rPr>
        <w:t xml:space="preserve"> </w:t>
      </w:r>
      <w:r>
        <w:rPr>
          <w:i/>
          <w:iCs/>
        </w:rPr>
        <w:t xml:space="preserve">authorization package or official assessment. All control closure claims are</w:t>
      </w:r>
      <w:r>
        <w:rPr>
          <w:i/>
          <w:iCs/>
        </w:rPr>
        <w:t xml:space="preserve"> </w:t>
      </w:r>
      <w:r>
        <w:rPr>
          <w:i/>
          <w:iCs/>
        </w:rPr>
        <w:t xml:space="preserve">advisory pending formal ATO review.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3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2026-07-15T19:04:32Z</dcterms:created>
  <dcterms:modified xsi:type="dcterms:W3CDTF">2026-07-15T19:04:32Z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