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The UIAO Seven-Layer Model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This model defines the architectural stack for the modernization efforts at . Each layer represents a functional domain, and the three UIAO pillars (Identity, Addressing, Overlay) are highlighted to show where vendor-specific integration occurs.</w:t>
      </w:r>
    </w:p>
    <w:p>
      <w:pPr>
        <w:spacing w:before="120" w:after="120" w:line="276" w:lineRule="auto"/>
      </w:pPr>
      <w:r>
        <w:rPr>
          <w:rFonts w:ascii="Calibri" w:hAnsi="Calibri"/>
          <w:b w:val="0"/>
          <w:i/>
          <w:sz w:val="22"/>
        </w:rPr>
        <w:t>End of Seven-Layer Model v1.0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2026-04-09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