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 Unifiedarchitecture</w:t>
      </w:r>
    </w:p>
    <w:p>
      <w:pPr>
        <w:pStyle w:val="Author"/>
      </w:pPr>
      <w:r>
        <w:t xml:space="preserve">UIAO Modernization Program</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X89d27089b9e35464a3fe4ccca1d49cbbcbaeb69"/>
    <w:p>
      <w:pPr>
        <w:pStyle w:val="Heading1"/>
      </w:pPr>
      <w:r>
        <w:t xml:space="preserve">1. Unified Identity-Addressing-Overlay Architecture (UIAO)</w:t>
      </w:r>
    </w:p>
    <w:bookmarkStart w:id="20" w:name="unified-architecture-specification"/>
    <w:p>
      <w:pPr>
        <w:pStyle w:val="Heading2"/>
      </w:pPr>
      <w:r>
        <w:t xml:space="preserve">1.1 Unified Architecture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2026-03</w:t>
            </w:r>
          </w:p>
        </w:tc>
      </w:tr>
      <w:tr>
        <w:tc>
          <w:tcPr/>
          <w:p>
            <w:pPr>
              <w:pStyle w:val="Compact"/>
            </w:pPr>
            <w:r>
              <w:t xml:space="preserve">Classification</w:t>
            </w:r>
          </w:p>
        </w:tc>
        <w:tc>
          <w:tcPr/>
          <w:p>
            <w:pPr>
              <w:pStyle w:val="Compact"/>
            </w:pPr>
            <w:r>
              <w:t xml:space="preserve">CUI/FOUO</w:t>
            </w:r>
          </w:p>
        </w:tc>
      </w:tr>
      <w:tr>
        <w:tc>
          <w:tcPr/>
          <w:p>
            <w:pPr>
              <w:pStyle w:val="Compact"/>
            </w:pPr>
            <w:r>
              <w:t xml:space="preserve">Source Plane(s)</w:t>
            </w:r>
          </w:p>
        </w:tc>
        <w:tc>
          <w:tcPr/>
          <w:p>
            <w:pPr>
              <w:pStyle w:val="Compact"/>
            </w:pPr>
            <w:r>
              <w:t xml:space="preserve">Identity, Network, Addressing, Telemetry, Security, Management</w:t>
            </w:r>
          </w:p>
        </w:tc>
      </w:tr>
      <w:tr>
        <w:tc>
          <w:tcPr/>
          <w:p>
            <w:pPr>
              <w:pStyle w:val="Compact"/>
            </w:pPr>
            <w:r>
              <w:t xml:space="preserve">Document Type</w:t>
            </w:r>
          </w:p>
        </w:tc>
        <w:tc>
          <w:tcPr/>
          <w:p>
            <w:pPr>
              <w:pStyle w:val="Compact"/>
            </w:pPr>
            <w:r>
              <w:t xml:space="preserve">Architectural Specification (00_Core)</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defines the unified architecture of the Unified Identity-Addressing-Overlay (UIAO) system. It integrates all six control planes into a single, coherent, identity-driven, telemetry-informed modernization framework. It serves as the architectural foundation for project plans, compliance mappings, modernization timelines, and executive briefings.</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Unified architectural model across all six control planes</w:t>
      </w:r>
    </w:p>
    <w:p>
      <w:pPr>
        <w:pStyle w:val="Compact"/>
        <w:numPr>
          <w:ilvl w:val="0"/>
          <w:numId w:val="1001"/>
        </w:numPr>
      </w:pPr>
      <w:r>
        <w:t xml:space="preserve">Cross-plane interactions and dependencies</w:t>
      </w:r>
    </w:p>
    <w:p>
      <w:pPr>
        <w:pStyle w:val="Compact"/>
        <w:numPr>
          <w:ilvl w:val="0"/>
          <w:numId w:val="1001"/>
        </w:numPr>
      </w:pPr>
      <w:r>
        <w:t xml:space="preserve">Core concepts and runtime behavior</w:t>
      </w:r>
    </w:p>
    <w:p>
      <w:pPr>
        <w:pStyle w:val="Compact"/>
        <w:numPr>
          <w:ilvl w:val="0"/>
          <w:numId w:val="1001"/>
        </w:numPr>
      </w:pPr>
      <w:r>
        <w:t xml:space="preserve">Architectural principles and modernization rationale</w:t>
      </w:r>
    </w:p>
    <w:p>
      <w:pPr>
        <w:pStyle w:val="Compact"/>
        <w:numPr>
          <w:ilvl w:val="0"/>
          <w:numId w:val="1001"/>
        </w:numPr>
      </w:pPr>
      <w:r>
        <w:t xml:space="preserve">Frozen state analysis and required state transitions</w:t>
      </w:r>
    </w:p>
    <w:bookmarkEnd w:id="22"/>
    <w:bookmarkStart w:id="23" w:name="excluded"/>
    <w:p>
      <w:pPr>
        <w:pStyle w:val="Heading3"/>
      </w:pPr>
      <w:r>
        <w:t xml:space="preserve">1.3.2 Excluded</w:t>
      </w:r>
    </w:p>
    <w:p>
      <w:pPr>
        <w:pStyle w:val="Compact"/>
        <w:numPr>
          <w:ilvl w:val="0"/>
          <w:numId w:val="1002"/>
        </w:numPr>
      </w:pPr>
      <w:r>
        <w:t xml:space="preserve">Detailed plane-specific specifications (see</w:t>
      </w:r>
      <w:r>
        <w:t xml:space="preserve"> </w:t>
      </w:r>
      <w:r>
        <w:rPr>
          <w:rStyle w:val="VerbatimChar"/>
        </w:rPr>
        <w:t xml:space="preserve">00_ControlPlaneArchitecture.md</w:t>
      </w:r>
      <w:r>
        <w:t xml:space="preserve">)</w:t>
      </w:r>
    </w:p>
    <w:p>
      <w:pPr>
        <w:pStyle w:val="Compact"/>
        <w:numPr>
          <w:ilvl w:val="0"/>
          <w:numId w:val="1002"/>
        </w:numPr>
      </w:pPr>
      <w:r>
        <w:t xml:space="preserve">Implementation guides</w:t>
      </w:r>
    </w:p>
    <w:p>
      <w:pPr>
        <w:pStyle w:val="Compact"/>
        <w:numPr>
          <w:ilvl w:val="0"/>
          <w:numId w:val="1002"/>
        </w:numPr>
      </w:pPr>
      <w:r>
        <w:t xml:space="preserve">Vendor-specific deployment instructions</w:t>
      </w:r>
    </w:p>
    <w:p>
      <w:pPr>
        <w:pStyle w:val="Compact"/>
        <w:numPr>
          <w:ilvl w:val="0"/>
          <w:numId w:val="1002"/>
        </w:numPr>
      </w:pPr>
      <w:r>
        <w:t xml:space="preserve">Project plan details (covered in modernization appendices)</w:t>
      </w:r>
    </w:p>
    <w:p>
      <w:r>
        <w:pict>
          <v:rect style="width:0;height:1.5pt" o:hralign="center" o:hrstd="t" o:hr="t"/>
        </w:pict>
      </w:r>
    </w:p>
    <w:bookmarkEnd w:id="23"/>
    <w:bookmarkEnd w:id="24"/>
    <w:bookmarkStart w:id="25" w:name="control-plane-alignment"/>
    <w:p>
      <w:pPr>
        <w:pStyle w:val="Heading2"/>
      </w:pPr>
      <w:r>
        <w:t xml:space="preserve">1.4 4. Control Plane Alignment</w:t>
      </w:r>
    </w:p>
    <w:p>
      <w:pPr>
        <w:pStyle w:val="FirstParagraph"/>
      </w:pPr>
      <w:r>
        <w:t xml:space="preserve">This document describes the unified behavior of all six UIAO control planes: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Role in Unified Architecture</w:t>
            </w:r>
          </w:p>
        </w:tc>
      </w:tr>
      <w:tr>
        <w:tc>
          <w:tcPr/>
          <w:p>
            <w:pPr>
              <w:pStyle w:val="Compact"/>
            </w:pPr>
            <w:r>
              <w:t xml:space="preserve">Identity</w:t>
            </w:r>
          </w:p>
        </w:tc>
        <w:tc>
          <w:tcPr/>
          <w:p>
            <w:pPr>
              <w:pStyle w:val="Compact"/>
            </w:pPr>
            <w:r>
              <w:t xml:space="preserve">Root namespace and assurance engine</w:t>
            </w:r>
          </w:p>
        </w:tc>
      </w:tr>
      <w:tr>
        <w:tc>
          <w:tcPr/>
          <w:p>
            <w:pPr>
              <w:pStyle w:val="Compact"/>
            </w:pPr>
            <w:r>
              <w:t xml:space="preserve">Network</w:t>
            </w:r>
          </w:p>
        </w:tc>
        <w:tc>
          <w:tcPr/>
          <w:p>
            <w:pPr>
              <w:pStyle w:val="Compact"/>
            </w:pPr>
            <w:r>
              <w:t xml:space="preserve">Routing, segmentation, and overlay transport</w:t>
            </w:r>
          </w:p>
        </w:tc>
      </w:tr>
      <w:tr>
        <w:tc>
          <w:tcPr/>
          <w:p>
            <w:pPr>
              <w:pStyle w:val="Compact"/>
            </w:pPr>
            <w:r>
              <w:t xml:space="preserve">Addressing</w:t>
            </w:r>
          </w:p>
        </w:tc>
        <w:tc>
          <w:tcPr/>
          <w:p>
            <w:pPr>
              <w:pStyle w:val="Compact"/>
            </w:pPr>
            <w:r>
              <w:t xml:space="preserve">Deterministic IPAM and DNS/DHCP authority</w:t>
            </w:r>
          </w:p>
        </w:tc>
      </w:tr>
      <w:tr>
        <w:tc>
          <w:tcPr/>
          <w:p>
            <w:pPr>
              <w:pStyle w:val="Compact"/>
            </w:pPr>
            <w:r>
              <w:t xml:space="preserve">Telemetry &amp; Location</w:t>
            </w:r>
          </w:p>
        </w:tc>
        <w:tc>
          <w:tcPr/>
          <w:p>
            <w:pPr>
              <w:pStyle w:val="Compact"/>
            </w:pPr>
            <w:r>
              <w:t xml:space="preserve">Real-time signals for routing, security, and compliance</w:t>
            </w:r>
          </w:p>
        </w:tc>
      </w:tr>
      <w:tr>
        <w:tc>
          <w:tcPr/>
          <w:p>
            <w:pPr>
              <w:pStyle w:val="Compact"/>
            </w:pPr>
            <w:r>
              <w:t xml:space="preserve">Security &amp; Compliance</w:t>
            </w:r>
          </w:p>
        </w:tc>
        <w:tc>
          <w:tcPr/>
          <w:p>
            <w:pPr>
              <w:pStyle w:val="Compact"/>
            </w:pPr>
            <w:r>
              <w:t xml:space="preserve">Zero Trust enforcement and FedRAMP alignment</w:t>
            </w:r>
          </w:p>
        </w:tc>
      </w:tr>
      <w:tr>
        <w:tc>
          <w:tcPr/>
          <w:p>
            <w:pPr>
              <w:pStyle w:val="Compact"/>
            </w:pPr>
            <w:r>
              <w:t xml:space="preserve">Management</w:t>
            </w:r>
          </w:p>
        </w:tc>
        <w:tc>
          <w:tcPr/>
          <w:p>
            <w:pPr>
              <w:pStyle w:val="Compact"/>
            </w:pPr>
            <w:r>
              <w:t xml:space="preserve">Governance, drift detection, CMDB, device compliance</w:t>
            </w:r>
          </w:p>
        </w:tc>
      </w:tr>
    </w:tbl>
    <w:p>
      <w:pPr>
        <w:pStyle w:val="BodyText"/>
      </w:pPr>
      <w:r>
        <w:t xml:space="preserve">The unified architecture is the composition of these planes operating deterministically.</w:t>
      </w:r>
    </w:p>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The unified architecture is governed by the Eight Core Concepts, which must appear identically across all UIAO documents:</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t xml:space="preserve">Conversation as the atomic unit</w:t>
      </w:r>
    </w:p>
    <w:p>
      <w:pPr>
        <w:pStyle w:val="Compact"/>
        <w:numPr>
          <w:ilvl w:val="0"/>
          <w:numId w:val="1003"/>
        </w:numPr>
      </w:pPr>
      <w:r>
        <w:t xml:space="preserve">Identity as the root namespace</w:t>
      </w:r>
    </w:p>
    <w:p>
      <w:pPr>
        <w:pStyle w:val="Compact"/>
        <w:numPr>
          <w:ilvl w:val="0"/>
          <w:numId w:val="1003"/>
        </w:numPr>
      </w:pPr>
      <w:r>
        <w:t xml:space="preserve">Deterministic addressing</w:t>
      </w:r>
    </w:p>
    <w:p>
      <w:pPr>
        <w:pStyle w:val="Compact"/>
        <w:numPr>
          <w:ilvl w:val="0"/>
          <w:numId w:val="1003"/>
        </w:numPr>
      </w:pPr>
      <w:r>
        <w:t xml:space="preserve">Certificate-anchored overlay</w:t>
      </w:r>
    </w:p>
    <w:p>
      <w:pPr>
        <w:pStyle w:val="Compact"/>
        <w:numPr>
          <w:ilvl w:val="0"/>
          <w:numId w:val="1003"/>
        </w:numPr>
      </w:pPr>
      <w:r>
        <w:t xml:space="preserve">Telemetry as control</w:t>
      </w:r>
    </w:p>
    <w:p>
      <w:pPr>
        <w:pStyle w:val="Compact"/>
        <w:numPr>
          <w:ilvl w:val="0"/>
          <w:numId w:val="1003"/>
        </w:numPr>
      </w:pPr>
      <w:r>
        <w:t xml:space="preserve">Embedded governance &amp; automation</w:t>
      </w:r>
    </w:p>
    <w:p>
      <w:pPr>
        <w:pStyle w:val="Compact"/>
        <w:numPr>
          <w:ilvl w:val="0"/>
          <w:numId w:val="1003"/>
        </w:numPr>
      </w:pPr>
      <w:r>
        <w:t xml:space="preserve">Public service first</w:t>
      </w:r>
    </w:p>
    <w:p>
      <w:pPr>
        <w:pStyle w:val="FirstParagraph"/>
      </w:pPr>
      <w:r>
        <w:t xml:space="preserve">These concepts define the architectural philosophy and runtime behavior of UIAO.</w:t>
      </w:r>
    </w:p>
    <w:p>
      <w:r>
        <w:pict>
          <v:rect style="width:0;height:1.5pt" o:hralign="center" o:hrstd="t" o:hr="t"/>
        </w:pict>
      </w:r>
    </w:p>
    <w:bookmarkEnd w:id="26"/>
    <w:bookmarkStart w:id="38" w:name="architecture-model"/>
    <w:p>
      <w:pPr>
        <w:pStyle w:val="Heading2"/>
      </w:pPr>
      <w:r>
        <w:t xml:space="preserve">1.6 6. Architecture Model</w:t>
      </w:r>
    </w:p>
    <w:bookmarkStart w:id="27" w:name="overview"/>
    <w:p>
      <w:pPr>
        <w:pStyle w:val="Heading3"/>
      </w:pPr>
      <w:r>
        <w:t xml:space="preserve">1.6.1 6.1 Overview</w:t>
      </w:r>
    </w:p>
    <w:p>
      <w:pPr>
        <w:pStyle w:val="FirstParagraph"/>
      </w:pPr>
      <w:r>
        <w:t xml:space="preserve">The UIAO architecture replaces legacy perimeter-centric, device-centric, and location-centric models with a federated, identity-driven, telemetry-informed control plane system. Each plane is authoritative for its domain, but all planes operate as a single, deterministic system.</w:t>
      </w:r>
    </w:p>
    <w:p>
      <w:pPr>
        <w:pStyle w:val="BodyText"/>
      </w:pPr>
      <w:r>
        <w:t xml:space="preserve">The architecture is designed to:</w:t>
      </w:r>
    </w:p>
    <w:p>
      <w:pPr>
        <w:pStyle w:val="Compact"/>
        <w:numPr>
          <w:ilvl w:val="0"/>
          <w:numId w:val="1004"/>
        </w:numPr>
      </w:pPr>
      <w:r>
        <w:t xml:space="preserve">Eliminate TIC 2.0 bottlenecks</w:t>
      </w:r>
    </w:p>
    <w:p>
      <w:pPr>
        <w:pStyle w:val="Compact"/>
        <w:numPr>
          <w:ilvl w:val="0"/>
          <w:numId w:val="1004"/>
        </w:numPr>
      </w:pPr>
      <w:r>
        <w:t xml:space="preserve">Replace static addressing with identity-derived addressing</w:t>
      </w:r>
    </w:p>
    <w:p>
      <w:pPr>
        <w:pStyle w:val="Compact"/>
        <w:numPr>
          <w:ilvl w:val="0"/>
          <w:numId w:val="1004"/>
        </w:numPr>
      </w:pPr>
      <w:r>
        <w:t xml:space="preserve">Replace siloed logs with conversation-level telemetry</w:t>
      </w:r>
    </w:p>
    <w:p>
      <w:pPr>
        <w:pStyle w:val="Compact"/>
        <w:numPr>
          <w:ilvl w:val="0"/>
          <w:numId w:val="1004"/>
        </w:numPr>
      </w:pPr>
      <w:r>
        <w:t xml:space="preserve">Replace manual governance with automated enforcement</w:t>
      </w:r>
    </w:p>
    <w:p>
      <w:pPr>
        <w:pStyle w:val="Compact"/>
        <w:numPr>
          <w:ilvl w:val="0"/>
          <w:numId w:val="1004"/>
        </w:numPr>
      </w:pPr>
      <w:r>
        <w:t xml:space="preserve">Replace perimeter trust with continuous Zero Trust evaluation</w:t>
      </w:r>
    </w:p>
    <w:bookmarkEnd w:id="27"/>
    <w:bookmarkStart w:id="28" w:name="architectural-principles"/>
    <w:p>
      <w:pPr>
        <w:pStyle w:val="Heading3"/>
      </w:pPr>
      <w:r>
        <w:t xml:space="preserve">1.6.2 6.2 Architectural Principles</w:t>
      </w:r>
    </w:p>
    <w:p>
      <w:pPr>
        <w:pStyle w:val="FirstParagraph"/>
      </w:pPr>
      <w:r>
        <w:t xml:space="preserve">The unified architecture is governed by the following principles:</w:t>
      </w:r>
    </w:p>
    <w:p>
      <w:pPr>
        <w:pStyle w:val="Compact"/>
        <w:numPr>
          <w:ilvl w:val="0"/>
          <w:numId w:val="1005"/>
        </w:numPr>
      </w:pPr>
      <w:r>
        <w:t xml:space="preserve">Zero Trust by default</w:t>
      </w:r>
    </w:p>
    <w:p>
      <w:pPr>
        <w:pStyle w:val="Compact"/>
        <w:numPr>
          <w:ilvl w:val="0"/>
          <w:numId w:val="1005"/>
        </w:numPr>
      </w:pPr>
      <w:r>
        <w:t xml:space="preserve">Identity as the new perimeter</w:t>
      </w:r>
    </w:p>
    <w:p>
      <w:pPr>
        <w:pStyle w:val="Compact"/>
        <w:numPr>
          <w:ilvl w:val="0"/>
          <w:numId w:val="1005"/>
        </w:numPr>
      </w:pPr>
      <w:r>
        <w:t xml:space="preserve">Telemetry as the truth source</w:t>
      </w:r>
    </w:p>
    <w:p>
      <w:pPr>
        <w:pStyle w:val="Compact"/>
        <w:numPr>
          <w:ilvl w:val="0"/>
          <w:numId w:val="1005"/>
        </w:numPr>
      </w:pPr>
      <w:r>
        <w:t xml:space="preserve">Cloud-first routing</w:t>
      </w:r>
    </w:p>
    <w:p>
      <w:pPr>
        <w:pStyle w:val="Compact"/>
        <w:numPr>
          <w:ilvl w:val="0"/>
          <w:numId w:val="1005"/>
        </w:numPr>
      </w:pPr>
      <w:r>
        <w:t xml:space="preserve">Incremental modernization (no big-bang)</w:t>
      </w:r>
    </w:p>
    <w:p>
      <w:pPr>
        <w:pStyle w:val="Compact"/>
        <w:numPr>
          <w:ilvl w:val="0"/>
          <w:numId w:val="1005"/>
        </w:numPr>
      </w:pPr>
      <w:r>
        <w:t xml:space="preserve">FedRAMP-aligned controls</w:t>
      </w:r>
    </w:p>
    <w:p>
      <w:pPr>
        <w:pStyle w:val="Compact"/>
        <w:numPr>
          <w:ilvl w:val="0"/>
          <w:numId w:val="1005"/>
        </w:numPr>
      </w:pPr>
      <w:r>
        <w:t xml:space="preserve">Modular, extensible architecture</w:t>
      </w:r>
    </w:p>
    <w:p>
      <w:pPr>
        <w:pStyle w:val="FirstParagraph"/>
      </w:pPr>
      <w:r>
        <w:t xml:space="preserve">These principles are mandatory across all UIAO implementations.</w:t>
      </w:r>
    </w:p>
    <w:bookmarkEnd w:id="28"/>
    <w:bookmarkStart w:id="35" w:name="plane-interactions"/>
    <w:p>
      <w:pPr>
        <w:pStyle w:val="Heading3"/>
      </w:pPr>
      <w:r>
        <w:t xml:space="preserve">1.6.3 6.3 Plane Interactions</w:t>
      </w:r>
    </w:p>
    <w:bookmarkStart w:id="29" w:name="identity---network"/>
    <w:p>
      <w:pPr>
        <w:pStyle w:val="Heading4"/>
      </w:pPr>
      <w:r>
        <w:t xml:space="preserve">1.6.3.1 Identity &lt;-&gt; Network</w:t>
      </w:r>
    </w:p>
    <w:p>
      <w:pPr>
        <w:pStyle w:val="FirstParagraph"/>
      </w:pPr>
      <w:r>
        <w:t xml:space="preserve">Identity provides segmentation attributes; network enforces identity-aware routing.</w:t>
      </w:r>
    </w:p>
    <w:bookmarkEnd w:id="29"/>
    <w:bookmarkStart w:id="30" w:name="network---addressing"/>
    <w:p>
      <w:pPr>
        <w:pStyle w:val="Heading4"/>
      </w:pPr>
      <w:r>
        <w:t xml:space="preserve">1.6.3.2 Network &lt;-&gt; Addressing</w:t>
      </w:r>
    </w:p>
    <w:p>
      <w:pPr>
        <w:pStyle w:val="FirstParagraph"/>
      </w:pPr>
      <w:r>
        <w:t xml:space="preserve">Addressing provides deterministic IPs; network uses them for segmentation and telemetry correlation.</w:t>
      </w:r>
    </w:p>
    <w:bookmarkEnd w:id="30"/>
    <w:bookmarkStart w:id="31" w:name="addressing---telemetry"/>
    <w:p>
      <w:pPr>
        <w:pStyle w:val="Heading4"/>
      </w:pPr>
      <w:r>
        <w:t xml:space="preserve">1.6.3.3 Addressing &lt;-&gt; Telemetry</w:t>
      </w:r>
    </w:p>
    <w:p>
      <w:pPr>
        <w:pStyle w:val="FirstParagraph"/>
      </w:pPr>
      <w:r>
        <w:t xml:space="preserve">IPAM provides identity-derived IPs; telemetry uses them for location inference and conversation correlation.</w:t>
      </w:r>
    </w:p>
    <w:bookmarkEnd w:id="31"/>
    <w:bookmarkStart w:id="32" w:name="telemetry---security"/>
    <w:p>
      <w:pPr>
        <w:pStyle w:val="Heading4"/>
      </w:pPr>
      <w:r>
        <w:t xml:space="preserve">1.6.3.4 Telemetry &lt;-&gt; Security</w:t>
      </w:r>
    </w:p>
    <w:p>
      <w:pPr>
        <w:pStyle w:val="FirstParagraph"/>
      </w:pPr>
      <w:r>
        <w:t xml:space="preserve">Telemetry provides real-time assurance; security enforces Zero Trust decisions.</w:t>
      </w:r>
    </w:p>
    <w:bookmarkEnd w:id="32"/>
    <w:bookmarkStart w:id="33" w:name="security---management"/>
    <w:p>
      <w:pPr>
        <w:pStyle w:val="Heading4"/>
      </w:pPr>
      <w:r>
        <w:t xml:space="preserve">1.6.3.5 Security &lt;-&gt; Management</w:t>
      </w:r>
    </w:p>
    <w:p>
      <w:pPr>
        <w:pStyle w:val="FirstParagraph"/>
      </w:pPr>
      <w:r>
        <w:t xml:space="preserve">Security defines policy; management enforces drift detection and remediation.</w:t>
      </w:r>
    </w:p>
    <w:bookmarkEnd w:id="33"/>
    <w:bookmarkStart w:id="34" w:name="management---identity"/>
    <w:p>
      <w:pPr>
        <w:pStyle w:val="Heading4"/>
      </w:pPr>
      <w:r>
        <w:t xml:space="preserve">1.6.3.6 Management &lt;-&gt; Identity</w:t>
      </w:r>
    </w:p>
    <w:p>
      <w:pPr>
        <w:pStyle w:val="FirstParagraph"/>
      </w:pPr>
      <w:r>
        <w:t xml:space="preserve">Device compliance and lifecycle events feed identity assurance.</w:t>
      </w:r>
    </w:p>
    <w:p>
      <w:pPr>
        <w:pStyle w:val="BodyText"/>
      </w:pPr>
      <w:r>
        <w:t xml:space="preserve">This creates a closed-loop, self-governing architecture.</w:t>
      </w:r>
    </w:p>
    <w:bookmarkEnd w:id="34"/>
    <w:bookmarkEnd w:id="35"/>
    <w:bookmarkStart w:id="36" w:name="frozen-state-analysis"/>
    <w:p>
      <w:pPr>
        <w:pStyle w:val="Heading3"/>
      </w:pPr>
      <w:r>
        <w:t xml:space="preserve">1.6.4 6.4 Frozen State Analysis</w:t>
      </w:r>
    </w:p>
    <w:p>
      <w:pPr>
        <w:pStyle w:val="FirstParagraph"/>
      </w:pPr>
      <w:r>
        <w:t xml:space="preserve">The unified architecture addresses the following legacy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Frozen State</w:t>
            </w:r>
          </w:p>
        </w:tc>
        <w:tc>
          <w:tcPr/>
          <w:p>
            <w:pPr>
              <w:pStyle w:val="Compact"/>
            </w:pPr>
            <w:r>
              <w:t xml:space="preserve">Required State</w:t>
            </w:r>
          </w:p>
        </w:tc>
      </w:tr>
      <w:tr>
        <w:tc>
          <w:tcPr/>
          <w:p>
            <w:pPr>
              <w:pStyle w:val="Compact"/>
            </w:pPr>
            <w:r>
              <w:t xml:space="preserve">Identity</w:t>
            </w:r>
          </w:p>
        </w:tc>
        <w:tc>
          <w:tcPr/>
          <w:p>
            <w:pPr>
              <w:pStyle w:val="Compact"/>
            </w:pPr>
            <w:r>
              <w:t xml:space="preserve">On-prem AD, siloed</w:t>
            </w:r>
          </w:p>
        </w:tc>
        <w:tc>
          <w:tcPr/>
          <w:p>
            <w:pPr>
              <w:pStyle w:val="Compact"/>
            </w:pPr>
            <w:r>
              <w:t xml:space="preserve">Unified identity graph</w:t>
            </w:r>
          </w:p>
        </w:tc>
      </w:tr>
      <w:tr>
        <w:tc>
          <w:tcPr/>
          <w:p>
            <w:pPr>
              <w:pStyle w:val="Compact"/>
            </w:pPr>
            <w:r>
              <w:t xml:space="preserve">Addressing</w:t>
            </w:r>
          </w:p>
        </w:tc>
        <w:tc>
          <w:tcPr/>
          <w:p>
            <w:pPr>
              <w:pStyle w:val="Compact"/>
            </w:pPr>
            <w:r>
              <w:t xml:space="preserve">Static spreadsheets</w:t>
            </w:r>
          </w:p>
        </w:tc>
        <w:tc>
          <w:tcPr/>
          <w:p>
            <w:pPr>
              <w:pStyle w:val="Compact"/>
            </w:pPr>
            <w:r>
              <w:t xml:space="preserve">Deterministic identity-derived addressing</w:t>
            </w:r>
          </w:p>
        </w:tc>
      </w:tr>
      <w:tr>
        <w:tc>
          <w:tcPr/>
          <w:p>
            <w:pPr>
              <w:pStyle w:val="Compact"/>
            </w:pPr>
            <w:r>
              <w:t xml:space="preserve">Network Security</w:t>
            </w:r>
          </w:p>
        </w:tc>
        <w:tc>
          <w:tcPr/>
          <w:p>
            <w:pPr>
              <w:pStyle w:val="Compact"/>
            </w:pPr>
            <w:r>
              <w:t xml:space="preserve">L3/L4 firewalls</w:t>
            </w:r>
          </w:p>
        </w:tc>
        <w:tc>
          <w:tcPr/>
          <w:p>
            <w:pPr>
              <w:pStyle w:val="Compact"/>
            </w:pPr>
            <w:r>
              <w:t xml:space="preserve">Identity-aware segmentation</w:t>
            </w:r>
          </w:p>
        </w:tc>
      </w:tr>
      <w:tr>
        <w:tc>
          <w:tcPr/>
          <w:p>
            <w:pPr>
              <w:pStyle w:val="Compact"/>
            </w:pPr>
            <w:r>
              <w:t xml:space="preserve">Endpoint</w:t>
            </w:r>
          </w:p>
        </w:tc>
        <w:tc>
          <w:tcPr/>
          <w:p>
            <w:pPr>
              <w:pStyle w:val="Compact"/>
            </w:pPr>
            <w:r>
              <w:t xml:space="preserve">Mixed tooling</w:t>
            </w:r>
          </w:p>
        </w:tc>
        <w:tc>
          <w:tcPr/>
          <w:p>
            <w:pPr>
              <w:pStyle w:val="Compact"/>
            </w:pPr>
            <w:r>
              <w:t xml:space="preserve">Unified posture signal</w:t>
            </w:r>
          </w:p>
        </w:tc>
      </w:tr>
      <w:tr>
        <w:tc>
          <w:tcPr/>
          <w:p>
            <w:pPr>
              <w:pStyle w:val="Compact"/>
            </w:pPr>
            <w:r>
              <w:t xml:space="preserve">App Delivery</w:t>
            </w:r>
          </w:p>
        </w:tc>
        <w:tc>
          <w:tcPr/>
          <w:p>
            <w:pPr>
              <w:pStyle w:val="Compact"/>
            </w:pPr>
            <w:r>
              <w:t xml:space="preserve">Monolithic, local auth</w:t>
            </w:r>
          </w:p>
        </w:tc>
        <w:tc>
          <w:tcPr/>
          <w:p>
            <w:pPr>
              <w:pStyle w:val="Compact"/>
            </w:pPr>
            <w:r>
              <w:t xml:space="preserve">Workload identity</w:t>
            </w:r>
          </w:p>
        </w:tc>
      </w:tr>
      <w:tr>
        <w:tc>
          <w:tcPr/>
          <w:p>
            <w:pPr>
              <w:pStyle w:val="Compact"/>
            </w:pPr>
            <w:r>
              <w:t xml:space="preserve">Telemetry</w:t>
            </w:r>
          </w:p>
        </w:tc>
        <w:tc>
          <w:tcPr/>
          <w:p>
            <w:pPr>
              <w:pStyle w:val="Compact"/>
            </w:pPr>
            <w:r>
              <w:t xml:space="preserve">Siloed logs</w:t>
            </w:r>
          </w:p>
        </w:tc>
        <w:tc>
          <w:tcPr/>
          <w:p>
            <w:pPr>
              <w:pStyle w:val="Compact"/>
            </w:pPr>
            <w:r>
              <w:t xml:space="preserve">Conversation-level correlation</w:t>
            </w:r>
          </w:p>
        </w:tc>
      </w:tr>
      <w:tr>
        <w:tc>
          <w:tcPr/>
          <w:p>
            <w:pPr>
              <w:pStyle w:val="Compact"/>
            </w:pPr>
            <w:r>
              <w:t xml:space="preserve">Governance</w:t>
            </w:r>
          </w:p>
        </w:tc>
        <w:tc>
          <w:tcPr/>
          <w:p>
            <w:pPr>
              <w:pStyle w:val="Compact"/>
            </w:pPr>
            <w:r>
              <w:t xml:space="preserve">Email/ticket-based</w:t>
            </w:r>
          </w:p>
        </w:tc>
        <w:tc>
          <w:tcPr/>
          <w:p>
            <w:pPr>
              <w:pStyle w:val="Compact"/>
            </w:pPr>
            <w:r>
              <w:t xml:space="preserve">Automated enforcement</w:t>
            </w:r>
          </w:p>
        </w:tc>
      </w:tr>
      <w:tr>
        <w:tc>
          <w:tcPr/>
          <w:p>
            <w:pPr>
              <w:pStyle w:val="Compact"/>
            </w:pPr>
            <w:r>
              <w:t xml:space="preserve">Data Protection</w:t>
            </w:r>
          </w:p>
        </w:tc>
        <w:tc>
          <w:tcPr/>
          <w:p>
            <w:pPr>
              <w:pStyle w:val="Compact"/>
            </w:pPr>
            <w:r>
              <w:t xml:space="preserve">Manual classification</w:t>
            </w:r>
          </w:p>
        </w:tc>
        <w:tc>
          <w:tcPr/>
          <w:p>
            <w:pPr>
              <w:pStyle w:val="Compact"/>
            </w:pPr>
            <w:r>
              <w:t xml:space="preserve">Data-aware routing</w:t>
            </w:r>
          </w:p>
        </w:tc>
      </w:tr>
    </w:tbl>
    <w:p>
      <w:pPr>
        <w:pStyle w:val="BodyText"/>
      </w:pPr>
      <w:r>
        <w:t xml:space="preserve">The unified architecture provides the required state.</w:t>
      </w:r>
    </w:p>
    <w:bookmarkEnd w:id="36"/>
    <w:bookmarkStart w:id="37" w:name="adapter-layer"/>
    <w:p>
      <w:pPr>
        <w:pStyle w:val="Heading3"/>
      </w:pPr>
      <w:r>
        <w:t xml:space="preserve">1.6.5 6.5 Adapter Layer</w:t>
      </w:r>
    </w:p>
    <w:p>
      <w:pPr>
        <w:pStyle w:val="FirstParagraph"/>
      </w:pPr>
      <w:r>
        <w:t xml:space="preserve">Adapters bridge external source systems (Entra ID, Infoblox, ServiceNow, etc.) to the UIAO control planes. Each adapter conforms to a ten-domain contract covering discovery, normalization, provenance, drift detection, health, error classification, confidence scoring, metrics, and lifecycle management.</w:t>
      </w:r>
    </w:p>
    <w:p>
      <w:pPr>
        <w:pStyle w:val="BodyText"/>
      </w:pPr>
      <w:r>
        <w:t xml:space="preserve">The adapter contract is defined in:</w:t>
      </w:r>
    </w:p>
    <w:p>
      <w:pPr>
        <w:pStyle w:val="Compact"/>
        <w:numPr>
          <w:ilvl w:val="0"/>
          <w:numId w:val="1006"/>
        </w:numPr>
      </w:pPr>
      <w:r>
        <w:rPr>
          <w:rStyle w:val="VerbatimChar"/>
        </w:rPr>
        <w:t xml:space="preserve">adapters/base_adapter.py</w:t>
      </w:r>
      <w:r>
        <w:t xml:space="preserve"> </w:t>
      </w:r>
      <w:r>
        <w:t xml:space="preserve">— Abstract base class (Python ABC)</w:t>
      </w:r>
    </w:p>
    <w:p>
      <w:pPr>
        <w:pStyle w:val="Compact"/>
        <w:numPr>
          <w:ilvl w:val="0"/>
          <w:numId w:val="1006"/>
        </w:numPr>
      </w:pPr>
      <w:r>
        <w:rPr>
          <w:rStyle w:val="VerbatimChar"/>
        </w:rPr>
        <w:t xml:space="preserve">adapters/__init__.py</w:t>
      </w:r>
      <w:r>
        <w:t xml:space="preserve"> </w:t>
      </w:r>
      <w:r>
        <w:t xml:space="preserve">— In-process adapter registry</w:t>
      </w:r>
    </w:p>
    <w:p>
      <w:pPr>
        <w:pStyle w:val="Compact"/>
        <w:numPr>
          <w:ilvl w:val="0"/>
          <w:numId w:val="1006"/>
        </w:numPr>
      </w:pPr>
      <w:r>
        <w:rPr>
          <w:rStyle w:val="VerbatimChar"/>
        </w:rPr>
        <w:t xml:space="preserve">docs/adapters/adapter-contract.md</w:t>
      </w:r>
      <w:r>
        <w:t xml:space="preserve"> </w:t>
      </w:r>
      <w:r>
        <w:t xml:space="preserve">— Human-readable contract specification</w:t>
      </w:r>
    </w:p>
    <w:p>
      <w:pPr>
        <w:pStyle w:val="FirstParagraph"/>
      </w:pPr>
      <w:r>
        <w:t xml:space="preserve">Vendor-specific adapter implementations live in separate repositories (e.g.,</w:t>
      </w:r>
      <w:r>
        <w:t xml:space="preserve"> </w:t>
      </w:r>
      <w:r>
        <w:rPr>
          <w:rStyle w:val="VerbatimChar"/>
        </w:rPr>
        <w:t xml:space="preserve">uiao-adapter-entra</w:t>
      </w:r>
      <w:r>
        <w:t xml:space="preserve">,</w:t>
      </w:r>
      <w:r>
        <w:t xml:space="preserve"> </w:t>
      </w:r>
      <w:r>
        <w:rPr>
          <w:rStyle w:val="VerbatimChar"/>
        </w:rPr>
        <w:t xml:space="preserve">uiao-adapter-infoblox</w:t>
      </w:r>
      <w:r>
        <w:t xml:space="preserve">). See</w:t>
      </w:r>
      <w:r>
        <w:t xml:space="preserve"> </w:t>
      </w:r>
      <w:r>
        <w:rPr>
          <w:rStyle w:val="VerbatimChar"/>
        </w:rPr>
        <w:t xml:space="preserve">docs/13_FIMF_AdapterRegistry.md</w:t>
      </w:r>
      <w:r>
        <w:t xml:space="preserve"> </w:t>
      </w:r>
      <w:r>
        <w:t xml:space="preserve">for the full FIMF adapter registry and onboarding checklist.</w:t>
      </w:r>
    </w:p>
    <w:p>
      <w:r>
        <w:pict>
          <v:rect style="width:0;height:1.5pt" o:hralign="center" o:hrstd="t" o:hr="t"/>
        </w:pict>
      </w:r>
    </w:p>
    <w:bookmarkEnd w:id="37"/>
    <w:bookmarkEnd w:id="38"/>
    <w:bookmarkStart w:id="43" w:name="runtime-model"/>
    <w:p>
      <w:pPr>
        <w:pStyle w:val="Heading2"/>
      </w:pPr>
      <w:r>
        <w:t xml:space="preserve">1.7 7. Runtime Model</w:t>
      </w:r>
    </w:p>
    <w:p>
      <w:pPr>
        <w:pStyle w:val="FirstParagraph"/>
      </w:pPr>
      <w:r>
        <w:t xml:space="preserve">UIAO operates on conversations as the atomic unit of runtime behavior.</w:t>
      </w:r>
    </w:p>
    <w:bookmarkStart w:id="39" w:name="conversation-flow"/>
    <w:p>
      <w:pPr>
        <w:pStyle w:val="Heading3"/>
      </w:pPr>
      <w:r>
        <w:t xml:space="preserve">1.7.1 7.1 Conversation Flow</w:t>
      </w:r>
    </w:p>
    <w:p>
      <w:pPr>
        <w:pStyle w:val="Compact"/>
        <w:numPr>
          <w:ilvl w:val="0"/>
          <w:numId w:val="1007"/>
        </w:numPr>
      </w:pPr>
      <w:r>
        <w:t xml:space="preserve">Identity initiates</w:t>
      </w:r>
    </w:p>
    <w:p>
      <w:pPr>
        <w:pStyle w:val="Compact"/>
        <w:numPr>
          <w:ilvl w:val="0"/>
          <w:numId w:val="1007"/>
        </w:numPr>
      </w:pPr>
      <w:r>
        <w:t xml:space="preserve">Addressing binds</w:t>
      </w:r>
    </w:p>
    <w:p>
      <w:pPr>
        <w:pStyle w:val="Compact"/>
        <w:numPr>
          <w:ilvl w:val="0"/>
          <w:numId w:val="1007"/>
        </w:numPr>
      </w:pPr>
      <w:r>
        <w:t xml:space="preserve">Certificates authenticate</w:t>
      </w:r>
    </w:p>
    <w:p>
      <w:pPr>
        <w:pStyle w:val="Compact"/>
        <w:numPr>
          <w:ilvl w:val="0"/>
          <w:numId w:val="1007"/>
        </w:numPr>
      </w:pPr>
      <w:r>
        <w:t xml:space="preserve">Overlay establishes path</w:t>
      </w:r>
    </w:p>
    <w:p>
      <w:pPr>
        <w:pStyle w:val="Compact"/>
        <w:numPr>
          <w:ilvl w:val="0"/>
          <w:numId w:val="1007"/>
        </w:numPr>
      </w:pPr>
      <w:r>
        <w:t xml:space="preserve">Telemetry validates</w:t>
      </w:r>
    </w:p>
    <w:p>
      <w:pPr>
        <w:pStyle w:val="Compact"/>
        <w:numPr>
          <w:ilvl w:val="0"/>
          <w:numId w:val="1007"/>
        </w:numPr>
      </w:pPr>
      <w:r>
        <w:t xml:space="preserve">Policy evaluates continuously</w:t>
      </w:r>
    </w:p>
    <w:bookmarkEnd w:id="39"/>
    <w:bookmarkStart w:id="40" w:name="deterministic-behavior"/>
    <w:p>
      <w:pPr>
        <w:pStyle w:val="Heading3"/>
      </w:pPr>
      <w:r>
        <w:t xml:space="preserve">1.7.2 7.2 Deterministic Behavior</w:t>
      </w:r>
    </w:p>
    <w:p>
      <w:pPr>
        <w:pStyle w:val="FirstParagraph"/>
      </w:pPr>
      <w:r>
        <w:t xml:space="preserve">Given identical identity, boundary, telemetry, and assurance inputs, the system must produce the same decision across:</w:t>
      </w:r>
    </w:p>
    <w:p>
      <w:pPr>
        <w:pStyle w:val="Compact"/>
        <w:numPr>
          <w:ilvl w:val="0"/>
          <w:numId w:val="1008"/>
        </w:numPr>
      </w:pPr>
      <w:r>
        <w:t xml:space="preserve">Clouds</w:t>
      </w:r>
    </w:p>
    <w:p>
      <w:pPr>
        <w:pStyle w:val="Compact"/>
        <w:numPr>
          <w:ilvl w:val="0"/>
          <w:numId w:val="1008"/>
        </w:numPr>
      </w:pPr>
      <w:r>
        <w:t xml:space="preserve">Agencies</w:t>
      </w:r>
    </w:p>
    <w:p>
      <w:pPr>
        <w:pStyle w:val="Compact"/>
        <w:numPr>
          <w:ilvl w:val="0"/>
          <w:numId w:val="1008"/>
        </w:numPr>
      </w:pPr>
      <w:r>
        <w:t xml:space="preserve">Implementations</w:t>
      </w:r>
    </w:p>
    <w:bookmarkEnd w:id="40"/>
    <w:bookmarkStart w:id="41" w:name="continuous-evaluation"/>
    <w:p>
      <w:pPr>
        <w:pStyle w:val="Heading3"/>
      </w:pPr>
      <w:r>
        <w:t xml:space="preserve">1.7.3 7.3 Continuous Evaluation</w:t>
      </w:r>
    </w:p>
    <w:p>
      <w:pPr>
        <w:pStyle w:val="FirstParagraph"/>
      </w:pPr>
      <w:r>
        <w:t xml:space="preserve">Telemetry modifies routing, access, and segmentation decisions in real time.</w:t>
      </w:r>
    </w:p>
    <w:bookmarkEnd w:id="41"/>
    <w:bookmarkStart w:id="42" w:name="assurance-signals"/>
    <w:p>
      <w:pPr>
        <w:pStyle w:val="Heading3"/>
      </w:pPr>
      <w:r>
        <w:t xml:space="preserve">1.7.4 7.4 Assurance Signals</w:t>
      </w:r>
    </w:p>
    <w:p>
      <w:pPr>
        <w:pStyle w:val="Compact"/>
        <w:numPr>
          <w:ilvl w:val="0"/>
          <w:numId w:val="1009"/>
        </w:numPr>
      </w:pPr>
      <w:r>
        <w:t xml:space="preserve">Identity assurance</w:t>
      </w:r>
    </w:p>
    <w:p>
      <w:pPr>
        <w:pStyle w:val="Compact"/>
        <w:numPr>
          <w:ilvl w:val="0"/>
          <w:numId w:val="1009"/>
        </w:numPr>
      </w:pPr>
      <w:r>
        <w:t xml:space="preserve">Device posture</w:t>
      </w:r>
    </w:p>
    <w:p>
      <w:pPr>
        <w:pStyle w:val="Compact"/>
        <w:numPr>
          <w:ilvl w:val="0"/>
          <w:numId w:val="1009"/>
        </w:numPr>
      </w:pPr>
      <w:r>
        <w:t xml:space="preserve">Path quality</w:t>
      </w:r>
    </w:p>
    <w:p>
      <w:pPr>
        <w:pStyle w:val="Compact"/>
        <w:numPr>
          <w:ilvl w:val="0"/>
          <w:numId w:val="1009"/>
        </w:numPr>
      </w:pPr>
      <w:r>
        <w:t xml:space="preserve">Location inference</w:t>
      </w:r>
    </w:p>
    <w:p>
      <w:pPr>
        <w:pStyle w:val="Compact"/>
        <w:numPr>
          <w:ilvl w:val="0"/>
          <w:numId w:val="1009"/>
        </w:numPr>
      </w:pPr>
      <w:r>
        <w:t xml:space="preserve">Certificate validity</w:t>
      </w:r>
    </w:p>
    <w:p>
      <w:pPr>
        <w:pStyle w:val="FirstParagraph"/>
      </w:pPr>
      <w:r>
        <w:t xml:space="preserve">These signals drive continuous policy evaluation.</w:t>
      </w:r>
    </w:p>
    <w:p>
      <w:r>
        <w:pict>
          <v:rect style="width:0;height:1.5pt" o:hralign="center" o:hrstd="t" o:hr="t"/>
        </w:pict>
      </w:r>
    </w:p>
    <w:bookmarkEnd w:id="42"/>
    <w:bookmarkEnd w:id="43"/>
    <w:bookmarkStart w:id="47" w:name="compliance-mapping"/>
    <w:p>
      <w:pPr>
        <w:pStyle w:val="Heading2"/>
      </w:pPr>
      <w:r>
        <w:t xml:space="preserve">1.8 8. Compliance Mapping</w:t>
      </w:r>
    </w:p>
    <w:bookmarkStart w:id="44" w:name="fedramp-20x-alignment"/>
    <w:p>
      <w:pPr>
        <w:pStyle w:val="Heading3"/>
      </w:pPr>
      <w:r>
        <w:t xml:space="preserve">1.8.1 8.1 FedRAMP 20x Alignment</w:t>
      </w:r>
    </w:p>
    <w:p>
      <w:pPr>
        <w:pStyle w:val="FirstParagraph"/>
      </w:pPr>
      <w:r>
        <w:t xml:space="preserve">The unified architecture supports:</w:t>
      </w:r>
    </w:p>
    <w:p>
      <w:pPr>
        <w:pStyle w:val="Compact"/>
        <w:numPr>
          <w:ilvl w:val="0"/>
          <w:numId w:val="1010"/>
        </w:numPr>
      </w:pPr>
      <w:r>
        <w:t xml:space="preserve">Class C (Moderate)</w:t>
      </w:r>
    </w:p>
    <w:p>
      <w:pPr>
        <w:pStyle w:val="Compact"/>
        <w:numPr>
          <w:ilvl w:val="0"/>
          <w:numId w:val="1010"/>
        </w:numPr>
      </w:pPr>
      <w:r>
        <w:t xml:space="preserve">Telemetry-based validation</w:t>
      </w:r>
    </w:p>
    <w:p>
      <w:pPr>
        <w:pStyle w:val="Compact"/>
        <w:numPr>
          <w:ilvl w:val="0"/>
          <w:numId w:val="1010"/>
        </w:numPr>
      </w:pPr>
      <w:r>
        <w:t xml:space="preserve">OSCAL machine-readability</w:t>
      </w:r>
    </w:p>
    <w:p>
      <w:pPr>
        <w:pStyle w:val="Compact"/>
        <w:numPr>
          <w:ilvl w:val="0"/>
          <w:numId w:val="1010"/>
        </w:numPr>
      </w:pPr>
      <w:r>
        <w:t xml:space="preserve">Automated evidence generation</w:t>
      </w:r>
    </w:p>
    <w:bookmarkEnd w:id="44"/>
    <w:bookmarkStart w:id="45" w:name="nist-800-53-rev-5-controls"/>
    <w:p>
      <w:pPr>
        <w:pStyle w:val="Heading3"/>
      </w:pPr>
      <w:r>
        <w:t xml:space="preserve">1.8.2 8.2 NIST 800-53 Rev 5 Controls</w:t>
      </w:r>
    </w:p>
    <w:p>
      <w:pPr>
        <w:pStyle w:val="FirstParagraph"/>
      </w:pPr>
      <w:r>
        <w:t xml:space="preserve">Mapped via the canonical crosswalk: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 ID</w:t>
            </w:r>
          </w:p>
        </w:tc>
        <w:tc>
          <w:tcPr/>
          <w:p>
            <w:pPr>
              <w:pStyle w:val="Compact"/>
            </w:pPr>
            <w:r>
              <w:t xml:space="preserve">Control Name</w:t>
            </w:r>
          </w:p>
        </w:tc>
      </w:tr>
      <w:tr>
        <w:tc>
          <w:tcPr/>
          <w:p>
            <w:pPr>
              <w:pStyle w:val="Compact"/>
            </w:pPr>
            <w:r>
              <w:t xml:space="preserve">AC-4</w:t>
            </w:r>
          </w:p>
        </w:tc>
        <w:tc>
          <w:tcPr/>
          <w:p>
            <w:pPr>
              <w:pStyle w:val="Compact"/>
            </w:pPr>
            <w:r>
              <w:t xml:space="preserve">Information Flow Enforcement (segmentation)</w:t>
            </w:r>
          </w:p>
        </w:tc>
      </w:tr>
      <w:tr>
        <w:tc>
          <w:tcPr/>
          <w:p>
            <w:pPr>
              <w:pStyle w:val="Compact"/>
            </w:pPr>
            <w:r>
              <w:t xml:space="preserve">IA-2</w:t>
            </w:r>
          </w:p>
        </w:tc>
        <w:tc>
          <w:tcPr/>
          <w:p>
            <w:pPr>
              <w:pStyle w:val="Compact"/>
            </w:pPr>
            <w:r>
              <w:t xml:space="preserve">Identification and Authentication</w:t>
            </w:r>
          </w:p>
        </w:tc>
      </w:tr>
      <w:tr>
        <w:tc>
          <w:tcPr/>
          <w:p>
            <w:pPr>
              <w:pStyle w:val="Compact"/>
            </w:pPr>
            <w:r>
              <w:t xml:space="preserve">IA-5</w:t>
            </w:r>
          </w:p>
        </w:tc>
        <w:tc>
          <w:tcPr/>
          <w:p>
            <w:pPr>
              <w:pStyle w:val="Compact"/>
            </w:pPr>
            <w:r>
              <w:t xml:space="preserve">Authenticator Management</w:t>
            </w:r>
          </w:p>
        </w:tc>
      </w:tr>
      <w:tr>
        <w:tc>
          <w:tcPr/>
          <w:p>
            <w:pPr>
              <w:pStyle w:val="Compact"/>
            </w:pPr>
            <w:r>
              <w:t xml:space="preserve">CM-8</w:t>
            </w:r>
          </w:p>
        </w:tc>
        <w:tc>
          <w:tcPr/>
          <w:p>
            <w:pPr>
              <w:pStyle w:val="Compact"/>
            </w:pPr>
            <w:r>
              <w:t xml:space="preserve">Information System Component Inventory</w:t>
            </w:r>
          </w:p>
        </w:tc>
      </w:tr>
      <w:tr>
        <w:tc>
          <w:tcPr/>
          <w:p>
            <w:pPr>
              <w:pStyle w:val="Compact"/>
            </w:pPr>
            <w:r>
              <w:t xml:space="preserve">SC-8</w:t>
            </w:r>
          </w:p>
        </w:tc>
        <w:tc>
          <w:tcPr/>
          <w:p>
            <w:pPr>
              <w:pStyle w:val="Compact"/>
            </w:pPr>
            <w:r>
              <w:t xml:space="preserve">Transmission Confidentiality and Integrity (mTLS)</w:t>
            </w:r>
          </w:p>
        </w:tc>
      </w:tr>
      <w:tr>
        <w:tc>
          <w:tcPr/>
          <w:p>
            <w:pPr>
              <w:pStyle w:val="Compact"/>
            </w:pPr>
            <w:r>
              <w:t xml:space="preserve">CA-7</w:t>
            </w:r>
          </w:p>
        </w:tc>
        <w:tc>
          <w:tcPr/>
          <w:p>
            <w:pPr>
              <w:pStyle w:val="Compact"/>
            </w:pPr>
            <w:r>
              <w:t xml:space="preserve">Continuous Monitoring</w:t>
            </w:r>
          </w:p>
        </w:tc>
      </w:tr>
      <w:tr>
        <w:tc>
          <w:tcPr/>
          <w:p>
            <w:pPr>
              <w:pStyle w:val="Compact"/>
            </w:pPr>
            <w:r>
              <w:t xml:space="preserve">SI-4</w:t>
            </w:r>
          </w:p>
        </w:tc>
        <w:tc>
          <w:tcPr/>
          <w:p>
            <w:pPr>
              <w:pStyle w:val="Compact"/>
            </w:pPr>
            <w:r>
              <w:t xml:space="preserve">Information System Monitoring (telemetry)</w:t>
            </w:r>
          </w:p>
        </w:tc>
      </w:tr>
    </w:tbl>
    <w:bookmarkEnd w:id="45"/>
    <w:bookmarkStart w:id="46" w:name="ksi-categories"/>
    <w:p>
      <w:pPr>
        <w:pStyle w:val="Heading3"/>
      </w:pPr>
      <w:r>
        <w:t xml:space="preserve">1.8.3 8.3 KSI Categories</w:t>
      </w:r>
    </w:p>
    <w:p>
      <w:pPr>
        <w:pStyle w:val="Compact"/>
        <w:numPr>
          <w:ilvl w:val="0"/>
          <w:numId w:val="1011"/>
        </w:numPr>
      </w:pPr>
      <w:r>
        <w:t xml:space="preserve">KSI-IAM</w:t>
      </w:r>
    </w:p>
    <w:p>
      <w:pPr>
        <w:pStyle w:val="Compact"/>
        <w:numPr>
          <w:ilvl w:val="0"/>
          <w:numId w:val="1011"/>
        </w:numPr>
      </w:pPr>
      <w:r>
        <w:t xml:space="preserve">KSI-PIY</w:t>
      </w:r>
    </w:p>
    <w:p>
      <w:pPr>
        <w:pStyle w:val="Compact"/>
        <w:numPr>
          <w:ilvl w:val="0"/>
          <w:numId w:val="1011"/>
        </w:numPr>
      </w:pPr>
      <w:r>
        <w:t xml:space="preserve">KSI-MLA</w:t>
      </w:r>
    </w:p>
    <w:p>
      <w:pPr>
        <w:pStyle w:val="Compact"/>
        <w:numPr>
          <w:ilvl w:val="0"/>
          <w:numId w:val="1011"/>
        </w:numPr>
      </w:pPr>
      <w:r>
        <w:t xml:space="preserve">KSI-SVC</w:t>
      </w:r>
    </w:p>
    <w:p>
      <w:pPr>
        <w:pStyle w:val="Compact"/>
        <w:numPr>
          <w:ilvl w:val="0"/>
          <w:numId w:val="1011"/>
        </w:numPr>
      </w:pPr>
      <w:r>
        <w:t xml:space="preserve">KSI-CMT</w:t>
      </w:r>
    </w:p>
    <w:p>
      <w:pPr>
        <w:pStyle w:val="Compact"/>
        <w:numPr>
          <w:ilvl w:val="0"/>
          <w:numId w:val="1011"/>
        </w:numPr>
      </w:pPr>
      <w:r>
        <w:t xml:space="preserve">KSI-CNA</w:t>
      </w:r>
    </w:p>
    <w:p>
      <w:pPr>
        <w:pStyle w:val="Compact"/>
        <w:numPr>
          <w:ilvl w:val="0"/>
          <w:numId w:val="1011"/>
        </w:numPr>
      </w:pPr>
      <w:r>
        <w:t xml:space="preserve">KSI-CED</w:t>
      </w:r>
    </w:p>
    <w:p>
      <w:r>
        <w:pict>
          <v:rect style="width:0;height:1.5pt" o:hralign="center" o:hrstd="t" o:hr="t"/>
        </w:pict>
      </w:r>
    </w:p>
    <w:bookmarkEnd w:id="46"/>
    <w:bookmarkEnd w:id="47"/>
    <w:bookmarkStart w:id="51" w:name="dependencies-sequencing"/>
    <w:p>
      <w:pPr>
        <w:pStyle w:val="Heading2"/>
      </w:pPr>
      <w:r>
        <w:t xml:space="preserve">1.9 9. Dependencies &amp; Sequencing</w:t>
      </w:r>
    </w:p>
    <w:bookmarkStart w:id="48" w:name="upstream-dependencies"/>
    <w:p>
      <w:pPr>
        <w:pStyle w:val="Heading3"/>
      </w:pPr>
      <w:r>
        <w:t xml:space="preserve">1.9.1 Upstream Dependencies</w:t>
      </w:r>
    </w:p>
    <w:p>
      <w:pPr>
        <w:pStyle w:val="Compact"/>
        <w:numPr>
          <w:ilvl w:val="0"/>
          <w:numId w:val="1012"/>
        </w:numPr>
      </w:pPr>
      <w:r>
        <w:t xml:space="preserve">HRIS</w:t>
      </w:r>
    </w:p>
    <w:p>
      <w:pPr>
        <w:pStyle w:val="Compact"/>
        <w:numPr>
          <w:ilvl w:val="0"/>
          <w:numId w:val="1012"/>
        </w:numPr>
      </w:pPr>
      <w:r>
        <w:t xml:space="preserve">PKI</w:t>
      </w:r>
    </w:p>
    <w:p>
      <w:pPr>
        <w:pStyle w:val="Compact"/>
        <w:numPr>
          <w:ilvl w:val="0"/>
          <w:numId w:val="1012"/>
        </w:numPr>
      </w:pPr>
      <w:r>
        <w:t xml:space="preserve">CMDB</w:t>
      </w:r>
    </w:p>
    <w:p>
      <w:pPr>
        <w:pStyle w:val="Compact"/>
        <w:numPr>
          <w:ilvl w:val="0"/>
          <w:numId w:val="1012"/>
        </w:numPr>
      </w:pPr>
      <w:r>
        <w:t xml:space="preserve">Network underlay</w:t>
      </w:r>
    </w:p>
    <w:bookmarkEnd w:id="48"/>
    <w:bookmarkStart w:id="49" w:name="downstream-dependencies"/>
    <w:p>
      <w:pPr>
        <w:pStyle w:val="Heading3"/>
      </w:pPr>
      <w:r>
        <w:t xml:space="preserve">1.9.2 Downstream Dependencies</w:t>
      </w:r>
    </w:p>
    <w:p>
      <w:pPr>
        <w:pStyle w:val="Compact"/>
        <w:numPr>
          <w:ilvl w:val="0"/>
          <w:numId w:val="1013"/>
        </w:numPr>
      </w:pPr>
      <w:r>
        <w:t xml:space="preserve">Modernization project plans (A-D)</w:t>
      </w:r>
    </w:p>
    <w:p>
      <w:pPr>
        <w:pStyle w:val="Compact"/>
        <w:numPr>
          <w:ilvl w:val="0"/>
          <w:numId w:val="1013"/>
        </w:numPr>
      </w:pPr>
      <w:r>
        <w:t xml:space="preserve">FedRAMP crosswalk</w:t>
      </w:r>
    </w:p>
    <w:p>
      <w:pPr>
        <w:pStyle w:val="Compact"/>
        <w:numPr>
          <w:ilvl w:val="0"/>
          <w:numId w:val="1013"/>
        </w:numPr>
      </w:pPr>
      <w:r>
        <w:t xml:space="preserve">Leadership briefing</w:t>
      </w:r>
    </w:p>
    <w:p>
      <w:pPr>
        <w:pStyle w:val="Compact"/>
        <w:numPr>
          <w:ilvl w:val="0"/>
          <w:numId w:val="1013"/>
        </w:numPr>
      </w:pPr>
      <w:r>
        <w:t xml:space="preserve">TIC 3.0 use cases</w:t>
      </w:r>
    </w:p>
    <w:bookmarkEnd w:id="49"/>
    <w:bookmarkStart w:id="50" w:name="timeline-alignment"/>
    <w:p>
      <w:pPr>
        <w:pStyle w:val="Heading3"/>
      </w:pPr>
      <w:r>
        <w:t xml:space="preserve">1.9.3 Timeline Alignment</w:t>
      </w:r>
    </w:p>
    <w:p>
      <w:pPr>
        <w:pStyle w:val="FirstParagraph"/>
      </w:pPr>
      <w:r>
        <w:t xml:space="preserve">This document maps to all phases of the modernization timeline.</w:t>
      </w:r>
    </w:p>
    <w:p>
      <w:r>
        <w:pict>
          <v:rect style="width:0;height:1.5pt" o:hralign="center" o:hrstd="t" o:hr="t"/>
        </w:pict>
      </w:r>
    </w:p>
    <w:bookmarkEnd w:id="50"/>
    <w:bookmarkEnd w:id="51"/>
    <w:bookmarkStart w:id="52" w:name="governance-drift-controls"/>
    <w:p>
      <w:pPr>
        <w:pStyle w:val="Heading2"/>
      </w:pPr>
      <w:r>
        <w:t xml:space="preserve">1.10 10. Governance &amp; Drift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Value</w:t>
            </w:r>
          </w:p>
        </w:tc>
      </w:tr>
      <w:tr>
        <w:tc>
          <w:tcPr/>
          <w:p>
            <w:pPr>
              <w:pStyle w:val="Compact"/>
            </w:pPr>
            <w:r>
              <w:t xml:space="preserve">Source of Authority</w:t>
            </w:r>
          </w:p>
        </w:tc>
        <w:tc>
          <w:tcPr/>
          <w:p>
            <w:pPr>
              <w:pStyle w:val="Compact"/>
            </w:pPr>
            <w:r>
              <w:t xml:space="preserve">HR (human identity), Network architecture (addressing), System owners (configuration), PKI (credential trust)</w:t>
            </w:r>
          </w:p>
        </w:tc>
      </w:tr>
      <w:tr>
        <w:tc>
          <w:tcPr/>
          <w:p>
            <w:pPr>
              <w:pStyle w:val="Compact"/>
            </w:pPr>
            <w:r>
              <w:t xml:space="preserve">Drift Detection</w:t>
            </w:r>
          </w:p>
        </w:tc>
        <w:tc>
          <w:tcPr/>
          <w:p>
            <w:pPr>
              <w:pStyle w:val="Compact"/>
            </w:pPr>
            <w:r>
              <w:t xml:space="preserve">ServiceNow CMDB reconciliation, Intune compliance, SD-WAN overlay validation, IPAM reconciliation</w:t>
            </w:r>
          </w:p>
        </w:tc>
      </w:tr>
      <w:tr>
        <w:tc>
          <w:tcPr/>
          <w:p>
            <w:pPr>
              <w:pStyle w:val="Compact"/>
            </w:pPr>
            <w:r>
              <w:t xml:space="preserve">Remediation Workflow</w:t>
            </w:r>
          </w:p>
        </w:tc>
        <w:tc>
          <w:tcPr/>
          <w:p>
            <w:pPr>
              <w:pStyle w:val="Compact"/>
            </w:pPr>
            <w:r>
              <w:t xml:space="preserve">Automated ServiceNow change, Conditional Access enforcement, Certificate renewal, IPAM correction</w:t>
            </w:r>
          </w:p>
        </w:tc>
      </w:tr>
      <w:tr>
        <w:tc>
          <w:tcPr/>
          <w:p>
            <w:pPr>
              <w:pStyle w:val="Compact"/>
            </w:pPr>
            <w:r>
              <w:t xml:space="preserve">Audit Anchors</w:t>
            </w:r>
          </w:p>
        </w:tc>
        <w:tc>
          <w:tcPr/>
          <w:p>
            <w:pPr>
              <w:pStyle w:val="Compact"/>
            </w:pPr>
            <w:r>
              <w:t xml:space="preserve">Entra ID logs, Infoblox API records, SD-WAN telemetry, Intune compliance reports, ServiceNow audit trails</w:t>
            </w:r>
          </w:p>
        </w:tc>
      </w:tr>
    </w:tbl>
    <w:p>
      <w:r>
        <w:pict>
          <v:rect style="width:0;height:1.5pt" o:hralign="center" o:hrstd="t" o:hr="t"/>
        </w:pict>
      </w:r>
    </w:p>
    <w:bookmarkEnd w:id="52"/>
    <w:bookmarkStart w:id="58" w:name="appendices"/>
    <w:p>
      <w:pPr>
        <w:pStyle w:val="Heading2"/>
      </w:pPr>
      <w:r>
        <w:t xml:space="preserve">1.11 11. Appendices</w:t>
      </w:r>
    </w:p>
    <w:bookmarkStart w:id="53"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docs/glossary.md</w:t>
      </w:r>
    </w:p>
    <w:bookmarkEnd w:id="53"/>
    <w:bookmarkStart w:id="54" w:name="appendix-b-tables"/>
    <w:p>
      <w:pPr>
        <w:pStyle w:val="Heading3"/>
      </w:pPr>
      <w:r>
        <w:t xml:space="preserve">1.11.2 Appendix B: Tables</w:t>
      </w:r>
    </w:p>
    <w:p>
      <w:pPr>
        <w:pStyle w:val="FirstParagraph"/>
      </w:pPr>
      <w:r>
        <w:rPr>
          <w:i/>
          <w:iCs/>
        </w:rPr>
        <w:t xml:space="preserve">Frozen State Analysis table is embedded in Section 6.4. Control Plane Alignment table is in Section 4.</w:t>
      </w:r>
    </w:p>
    <w:bookmarkEnd w:id="54"/>
    <w:bookmarkStart w:id="55" w:name="appendix-c-diagram-references"/>
    <w:p>
      <w:pPr>
        <w:pStyle w:val="Heading3"/>
      </w:pPr>
      <w:r>
        <w:t xml:space="preserve">1.11.3 Appendix C: Diagram References</w:t>
      </w:r>
    </w:p>
    <w:p>
      <w:pPr>
        <w:pStyle w:val="FirstParagraph"/>
      </w:pPr>
      <w:r>
        <w:rPr>
          <w:i/>
          <w:iCs/>
        </w:rPr>
        <w:t xml:space="preserve">See</w:t>
      </w:r>
      <w:r>
        <w:rPr>
          <w:i/>
          <w:iCs/>
        </w:rPr>
        <w:t xml:space="preserve"> </w:t>
      </w:r>
      <w:r>
        <w:rPr>
          <w:rStyle w:val="VerbatimChar"/>
          <w:i/>
          <w:iCs/>
        </w:rPr>
        <w:t xml:space="preserve">docs/images/</w:t>
      </w:r>
      <w:r>
        <w:rPr>
          <w:i/>
          <w:iCs/>
        </w:rPr>
        <w:t xml:space="preserve"> </w:t>
      </w:r>
      <w:r>
        <w:rPr>
          <w:i/>
          <w:iCs/>
        </w:rPr>
        <w:t xml:space="preserve">for all referenced architecture diagrams.</w:t>
      </w:r>
    </w:p>
    <w:bookmarkEnd w:id="55"/>
    <w:bookmarkStart w:id="56" w:name="appendix-d-crosswalk-references"/>
    <w:p>
      <w:pPr>
        <w:pStyle w:val="Heading3"/>
      </w:pPr>
      <w:r>
        <w:t xml:space="preserve">1.11.4 Appendix D: Crosswalk References</w:t>
      </w:r>
    </w:p>
    <w:p>
      <w:pPr>
        <w:pStyle w:val="FirstParagraph"/>
      </w:pPr>
      <w:r>
        <w:rPr>
          <w:i/>
          <w:iCs/>
        </w:rPr>
        <w:t xml:space="preserve">See</w:t>
      </w:r>
      <w:r>
        <w:rPr>
          <w:i/>
          <w:iCs/>
        </w:rPr>
        <w:t xml:space="preserve"> </w:t>
      </w:r>
      <w:r>
        <w:rPr>
          <w:rStyle w:val="VerbatimChar"/>
          <w:i/>
          <w:iCs/>
        </w:rPr>
        <w:t xml:space="preserve">data/crosswalk-index.yml</w:t>
      </w:r>
      <w:r>
        <w:rPr>
          <w:i/>
          <w:iCs/>
        </w:rPr>
        <w:t xml:space="preserve"> </w:t>
      </w:r>
      <w:r>
        <w:rPr>
          <w:i/>
          <w:iCs/>
        </w:rPr>
        <w:t xml:space="preserve">and</w:t>
      </w:r>
      <w:r>
        <w:rPr>
          <w:i/>
          <w:iCs/>
        </w:rPr>
        <w:t xml:space="preserve"> </w:t>
      </w:r>
      <w:r>
        <w:rPr>
          <w:rStyle w:val="VerbatimChar"/>
          <w:i/>
          <w:iCs/>
        </w:rPr>
        <w:t xml:space="preserve">docs/fedramp22_summary_v1.0.md</w:t>
      </w:r>
      <w:r>
        <w:rPr>
          <w:i/>
          <w:iCs/>
        </w:rPr>
        <w:t xml:space="preserve">.</w:t>
      </w:r>
    </w:p>
    <w:bookmarkEnd w:id="56"/>
    <w:bookmarkStart w:id="57" w:name="appendix-e-evidence-sources"/>
    <w:p>
      <w:pPr>
        <w:pStyle w:val="Heading3"/>
      </w:pPr>
      <w:r>
        <w:t xml:space="preserve">1.11.5 Appendix E: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p>
      <w:r>
        <w:pict>
          <v:rect style="width:0;height:1.5pt" o:hralign="center" o:hrstd="t" o:hr="t"/>
        </w:pict>
      </w:r>
    </w:p>
    <w:bookmarkEnd w:id="57"/>
    <w:bookmarkEnd w:id="58"/>
    <w:bookmarkStart w:id="59" w:name="revision-history"/>
    <w:p>
      <w:pPr>
        <w:pStyle w:val="Heading2"/>
      </w:pPr>
      <w:r>
        <w:t xml:space="preserve">1.12 12.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r>
        <w:tc>
          <w:tcPr/>
          <w:p>
            <w:pPr>
              <w:pStyle w:val="Compact"/>
            </w:pPr>
            <w:r>
              <w:t xml:space="preserve">1.1</w:t>
            </w:r>
          </w:p>
        </w:tc>
        <w:tc>
          <w:tcPr/>
          <w:p>
            <w:pPr>
              <w:pStyle w:val="Compact"/>
            </w:pPr>
            <w:r>
              <w:t xml:space="preserve">2026-04</w:t>
            </w:r>
          </w:p>
        </w:tc>
        <w:tc>
          <w:tcPr/>
          <w:p>
            <w:pPr>
              <w:pStyle w:val="Compact"/>
            </w:pPr>
            <w:r>
              <w:t xml:space="preserve">UIAO Adapter Layer</w:t>
            </w:r>
          </w:p>
        </w:tc>
        <w:tc>
          <w:tcPr/>
          <w:p>
            <w:pPr>
              <w:pStyle w:val="Compact"/>
            </w:pPr>
            <w:r>
              <w:t xml:space="preserve">Added Section 6.5 Adapter Layer cross-reference</w:t>
            </w:r>
          </w:p>
        </w:tc>
      </w:tr>
    </w:tbl>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Unifiedarchitecture</dc:title>
  <dc:creator>UIAO Modernization Program</dc:creator>
  <dc:language>en</dc:language>
  <cp:keywords/>
  <dcterms:created xsi:type="dcterms:W3CDTF">2026-04-03T14:30:52Z</dcterms:created>
  <dcterms:modified xsi:type="dcterms:W3CDTF">2026-04-03T14:30:52Z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