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 Crosswalkindex</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5" w:name="uiao-crosswalk-index"/>
    <w:p>
      <w:pPr>
        <w:pStyle w:val="Heading1"/>
      </w:pPr>
      <w:r>
        <w:t xml:space="preserve">1. UIAO Crosswalk Index</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Index and Reference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the authoritative index for all crosswalks, mappings, and compliance references within the Unified Identity-Addressing-Overlay (UIAO) canon. It ensures that every mapping — FedRAMP, NIST, TIC 3.0, SCuBA, KSI, and control-plane alignment — is discoverable, consistent, and traceable across the entire documentation set.</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Index of all crosswalks in the UIAO canon</w:t>
      </w:r>
    </w:p>
    <w:p>
      <w:pPr>
        <w:pStyle w:val="Compact"/>
        <w:numPr>
          <w:ilvl w:val="0"/>
          <w:numId w:val="1001"/>
        </w:numPr>
      </w:pPr>
      <w:r>
        <w:t xml:space="preserve">Mapping references across FedRAMP, NIST, TIC 3.0, SCuBA, and KSI</w:t>
      </w:r>
    </w:p>
    <w:p>
      <w:pPr>
        <w:pStyle w:val="Compact"/>
        <w:numPr>
          <w:ilvl w:val="0"/>
          <w:numId w:val="1001"/>
        </w:numPr>
      </w:pPr>
      <w:r>
        <w:t xml:space="preserve">Control-plane alignment references</w:t>
      </w:r>
    </w:p>
    <w:p>
      <w:pPr>
        <w:pStyle w:val="Compact"/>
        <w:numPr>
          <w:ilvl w:val="0"/>
          <w:numId w:val="1001"/>
        </w:numPr>
      </w:pPr>
      <w:r>
        <w:t xml:space="preserve">Document-to-document linkage</w:t>
      </w:r>
    </w:p>
    <w:p>
      <w:pPr>
        <w:pStyle w:val="Compact"/>
        <w:numPr>
          <w:ilvl w:val="0"/>
          <w:numId w:val="1001"/>
        </w:numPr>
      </w:pPr>
      <w:r>
        <w:t xml:space="preserve">Evidence source index</w:t>
      </w:r>
    </w:p>
    <w:bookmarkEnd w:id="22"/>
    <w:bookmarkStart w:id="23" w:name="excluded"/>
    <w:p>
      <w:pPr>
        <w:pStyle w:val="Heading3"/>
      </w:pPr>
      <w:r>
        <w:t xml:space="preserve">1.3.2 Excluded</w:t>
      </w:r>
    </w:p>
    <w:p>
      <w:pPr>
        <w:pStyle w:val="Compact"/>
        <w:numPr>
          <w:ilvl w:val="0"/>
          <w:numId w:val="1002"/>
        </w:numPr>
      </w:pPr>
      <w:r>
        <w:t xml:space="preserve">Full crosswalk content (see</w:t>
      </w:r>
      <w:r>
        <w:t xml:space="preserve"> </w:t>
      </w:r>
      <w:r>
        <w:rPr>
          <w:rStyle w:val="VerbatimChar"/>
        </w:rPr>
        <w:t xml:space="preserve">03_FedRAMP20x_Crosswalk.md</w:t>
      </w:r>
      <w:r>
        <w:t xml:space="preserve">)</w:t>
      </w:r>
    </w:p>
    <w:p>
      <w:pPr>
        <w:pStyle w:val="Compact"/>
        <w:numPr>
          <w:ilvl w:val="0"/>
          <w:numId w:val="1002"/>
        </w:numPr>
      </w:pPr>
      <w:r>
        <w:t xml:space="preserve">Detailed compliance narratives</w:t>
      </w:r>
    </w:p>
    <w:p>
      <w:pPr>
        <w:pStyle w:val="Compact"/>
        <w:numPr>
          <w:ilvl w:val="0"/>
          <w:numId w:val="1002"/>
        </w:numPr>
      </w:pPr>
      <w:r>
        <w:t xml:space="preserve">Project plans and timelines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This index spans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Crosswalk Role</w:t>
            </w:r>
          </w:p>
        </w:tc>
      </w:tr>
      <w:tr>
        <w:tc>
          <w:tcPr/>
          <w:p>
            <w:pPr>
              <w:pStyle w:val="Compact"/>
            </w:pPr>
            <w:r>
              <w:t xml:space="preserve">Identity</w:t>
            </w:r>
          </w:p>
        </w:tc>
        <w:tc>
          <w:tcPr/>
          <w:p>
            <w:pPr>
              <w:pStyle w:val="Compact"/>
            </w:pPr>
            <w:r>
              <w:t xml:space="preserve">NIST 800-63, IA-2, AC-2, ICAM governance</w:t>
            </w:r>
          </w:p>
        </w:tc>
      </w:tr>
      <w:tr>
        <w:tc>
          <w:tcPr/>
          <w:p>
            <w:pPr>
              <w:pStyle w:val="Compact"/>
            </w:pPr>
            <w:r>
              <w:t xml:space="preserve">Network</w:t>
            </w:r>
          </w:p>
        </w:tc>
        <w:tc>
          <w:tcPr/>
          <w:p>
            <w:pPr>
              <w:pStyle w:val="Compact"/>
            </w:pPr>
            <w:r>
              <w:t xml:space="preserve">AC-4, SC-7, TIC 3.0 Cloud and Branch</w:t>
            </w:r>
          </w:p>
        </w:tc>
      </w:tr>
      <w:tr>
        <w:tc>
          <w:tcPr/>
          <w:p>
            <w:pPr>
              <w:pStyle w:val="Compact"/>
            </w:pPr>
            <w:r>
              <w:t xml:space="preserve">Addressing</w:t>
            </w:r>
          </w:p>
        </w:tc>
        <w:tc>
          <w:tcPr/>
          <w:p>
            <w:pPr>
              <w:pStyle w:val="Compact"/>
            </w:pPr>
            <w:r>
              <w:t xml:space="preserve">CM-8, AC-4, deterministic IPAM</w:t>
            </w:r>
          </w:p>
        </w:tc>
      </w:tr>
      <w:tr>
        <w:tc>
          <w:tcPr/>
          <w:p>
            <w:pPr>
              <w:pStyle w:val="Compact"/>
            </w:pPr>
            <w:r>
              <w:t xml:space="preserve">Telemetry and Location</w:t>
            </w:r>
          </w:p>
        </w:tc>
        <w:tc>
          <w:tcPr/>
          <w:p>
            <w:pPr>
              <w:pStyle w:val="Compact"/>
            </w:pPr>
            <w:r>
              <w:t xml:space="preserve">CA-7, SI-4, KSI-MLA</w:t>
            </w:r>
          </w:p>
        </w:tc>
      </w:tr>
      <w:tr>
        <w:tc>
          <w:tcPr/>
          <w:p>
            <w:pPr>
              <w:pStyle w:val="Compact"/>
            </w:pPr>
            <w:r>
              <w:t xml:space="preserve">Security and Compliance</w:t>
            </w:r>
          </w:p>
        </w:tc>
        <w:tc>
          <w:tcPr/>
          <w:p>
            <w:pPr>
              <w:pStyle w:val="Compact"/>
            </w:pPr>
            <w:r>
              <w:t xml:space="preserve">FedRAMP 20x, Zero Trust, SCuBA</w:t>
            </w:r>
          </w:p>
        </w:tc>
      </w:tr>
      <w:tr>
        <w:tc>
          <w:tcPr/>
          <w:p>
            <w:pPr>
              <w:pStyle w:val="Compact"/>
            </w:pPr>
            <w:r>
              <w:t xml:space="preserve">Management</w:t>
            </w:r>
          </w:p>
        </w:tc>
        <w:tc>
          <w:tcPr/>
          <w:p>
            <w:pPr>
              <w:pStyle w:val="Compact"/>
            </w:pPr>
            <w:r>
              <w:t xml:space="preserve">CM-2, CM-3, CM-6, CM-8, CA-7</w:t>
            </w:r>
          </w:p>
        </w:tc>
      </w:tr>
    </w:tbl>
    <w:p>
      <w:pPr>
        <w:pStyle w:val="BodyText"/>
      </w:pPr>
      <w:r>
        <w:t xml:space="preserve">The index ensures each plane’s compliance responsibilities are traceable.</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The Crosswalk Index is governed by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p>
    <w:p>
      <w:pPr>
        <w:pStyle w:val="Compact"/>
        <w:numPr>
          <w:ilvl w:val="0"/>
          <w:numId w:val="1003"/>
        </w:numPr>
      </w:pPr>
      <w:r>
        <w:rPr>
          <w:b/>
          <w:bCs/>
        </w:rPr>
        <w:t xml:space="preserve">Identity as the root namespace</w:t>
      </w:r>
    </w:p>
    <w:p>
      <w:pPr>
        <w:pStyle w:val="Compact"/>
        <w:numPr>
          <w:ilvl w:val="0"/>
          <w:numId w:val="1003"/>
        </w:numPr>
      </w:pPr>
      <w:r>
        <w:rPr>
          <w:b/>
          <w:bCs/>
        </w:rPr>
        <w:t xml:space="preserve">Deterministic addressing</w:t>
      </w:r>
    </w:p>
    <w:p>
      <w:pPr>
        <w:pStyle w:val="Compact"/>
        <w:numPr>
          <w:ilvl w:val="0"/>
          <w:numId w:val="1003"/>
        </w:numPr>
      </w:pPr>
      <w:r>
        <w:rPr>
          <w:b/>
          <w:bCs/>
        </w:rPr>
        <w:t xml:space="preserve">Certificate-anchored overlay</w:t>
      </w:r>
    </w:p>
    <w:p>
      <w:pPr>
        <w:pStyle w:val="Compact"/>
        <w:numPr>
          <w:ilvl w:val="0"/>
          <w:numId w:val="1003"/>
        </w:numPr>
      </w:pPr>
      <w:r>
        <w:rPr>
          <w:b/>
          <w:bCs/>
        </w:rPr>
        <w:t xml:space="preserve">Telemetry as control</w:t>
      </w:r>
    </w:p>
    <w:p>
      <w:pPr>
        <w:pStyle w:val="Compact"/>
        <w:numPr>
          <w:ilvl w:val="0"/>
          <w:numId w:val="1003"/>
        </w:numPr>
      </w:pPr>
      <w:r>
        <w:rPr>
          <w:b/>
          <w:bCs/>
        </w:rPr>
        <w:t xml:space="preserve">Embedded governance and automation</w:t>
      </w:r>
    </w:p>
    <w:p>
      <w:pPr>
        <w:pStyle w:val="Compact"/>
        <w:numPr>
          <w:ilvl w:val="0"/>
          <w:numId w:val="1003"/>
        </w:numPr>
      </w:pPr>
      <w:r>
        <w:rPr>
          <w:b/>
          <w:bCs/>
        </w:rPr>
        <w:t xml:space="preserve">Public service first</w:t>
      </w:r>
    </w:p>
    <w:p>
      <w:pPr>
        <w:pStyle w:val="FirstParagraph"/>
      </w:pPr>
      <w:r>
        <w:t xml:space="preserve">These concepts appear consistently across all crosswalks.</w:t>
      </w:r>
    </w:p>
    <w:p>
      <w:r>
        <w:pict>
          <v:rect style="width:0;height:1.5pt" o:hralign="center" o:hrstd="t" o:hr="t"/>
        </w:pict>
      </w:r>
    </w:p>
    <w:bookmarkEnd w:id="26"/>
    <w:bookmarkStart w:id="29" w:name="architecture-model"/>
    <w:p>
      <w:pPr>
        <w:pStyle w:val="Heading2"/>
      </w:pPr>
      <w:r>
        <w:t xml:space="preserve">1.6 6. Architecture Model</w:t>
      </w:r>
    </w:p>
    <w:bookmarkStart w:id="27" w:name="crosswalk-categories"/>
    <w:p>
      <w:pPr>
        <w:pStyle w:val="Heading3"/>
      </w:pPr>
      <w:r>
        <w:t xml:space="preserve">1.6.1 6.1 Crosswalk Categories</w:t>
      </w:r>
    </w:p>
    <w:p>
      <w:pPr>
        <w:pStyle w:val="FirstParagraph"/>
      </w:pPr>
      <w:r>
        <w:t xml:space="preserve">UIAO crosswalks fall into five canonical categories:</w:t>
      </w:r>
    </w:p>
    <w:p>
      <w:pPr>
        <w:pStyle w:val="Compact"/>
        <w:numPr>
          <w:ilvl w:val="0"/>
          <w:numId w:val="1004"/>
        </w:numPr>
      </w:pPr>
      <w:r>
        <w:rPr>
          <w:b/>
          <w:bCs/>
        </w:rPr>
        <w:t xml:space="preserve">FedRAMP 20x Crosswalk</w:t>
      </w:r>
    </w:p>
    <w:p>
      <w:pPr>
        <w:pStyle w:val="Compact"/>
        <w:numPr>
          <w:ilvl w:val="0"/>
          <w:numId w:val="1004"/>
        </w:numPr>
      </w:pPr>
      <w:r>
        <w:rPr>
          <w:b/>
          <w:bCs/>
        </w:rPr>
        <w:t xml:space="preserve">NIST SP 800-53 Rev 5 Mapping</w:t>
      </w:r>
    </w:p>
    <w:p>
      <w:pPr>
        <w:pStyle w:val="Compact"/>
        <w:numPr>
          <w:ilvl w:val="0"/>
          <w:numId w:val="1004"/>
        </w:numPr>
      </w:pPr>
      <w:r>
        <w:rPr>
          <w:b/>
          <w:bCs/>
        </w:rPr>
        <w:t xml:space="preserve">TIC 3.0 Cloud and Branch Alignment</w:t>
      </w:r>
    </w:p>
    <w:p>
      <w:pPr>
        <w:pStyle w:val="Compact"/>
        <w:numPr>
          <w:ilvl w:val="0"/>
          <w:numId w:val="1004"/>
        </w:numPr>
      </w:pPr>
      <w:r>
        <w:rPr>
          <w:b/>
          <w:bCs/>
        </w:rPr>
        <w:t xml:space="preserve">SCuBA (M365) Hardening Alignment</w:t>
      </w:r>
    </w:p>
    <w:p>
      <w:pPr>
        <w:pStyle w:val="Compact"/>
        <w:numPr>
          <w:ilvl w:val="0"/>
          <w:numId w:val="1004"/>
        </w:numPr>
      </w:pPr>
      <w:r>
        <w:rPr>
          <w:b/>
          <w:bCs/>
        </w:rPr>
        <w:t xml:space="preserve">KSI (Key Security Indicator) Framework</w:t>
      </w:r>
    </w:p>
    <w:p>
      <w:pPr>
        <w:pStyle w:val="FirstParagraph"/>
      </w:pPr>
      <w:r>
        <w:t xml:space="preserve">This index links each category to its authoritative document.</w:t>
      </w:r>
    </w:p>
    <w:bookmarkEnd w:id="27"/>
    <w:bookmarkStart w:id="28" w:name="document-level-crosswalk-index"/>
    <w:p>
      <w:pPr>
        <w:pStyle w:val="Heading3"/>
      </w:pPr>
      <w:r>
        <w:t xml:space="preserve">1.6.2 6.2 Document-Level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Crosswalk Type</w:t>
            </w:r>
          </w:p>
        </w:tc>
        <w:tc>
          <w:tcPr/>
          <w:p>
            <w:pPr>
              <w:pStyle w:val="Compact"/>
            </w:pPr>
            <w:r>
              <w:t xml:space="preserve">Reference</w:t>
            </w:r>
          </w:p>
        </w:tc>
      </w:tr>
      <w:tr>
        <w:tc>
          <w:tcPr/>
          <w:p>
            <w:pPr>
              <w:pStyle w:val="Compact"/>
            </w:pPr>
            <w:r>
              <w:rPr>
                <w:rStyle w:val="VerbatimChar"/>
              </w:rPr>
              <w:t xml:space="preserve">03_FedRAMP20x_Crosswalk.md</w:t>
            </w:r>
          </w:p>
        </w:tc>
        <w:tc>
          <w:tcPr/>
          <w:p>
            <w:pPr>
              <w:pStyle w:val="Compact"/>
            </w:pPr>
            <w:r>
              <w:t xml:space="preserve">FedRAMP 20x to UIAO</w:t>
            </w:r>
          </w:p>
        </w:tc>
        <w:tc>
          <w:tcPr/>
          <w:p>
            <w:pPr>
              <w:pStyle w:val="Compact"/>
            </w:pPr>
            <w:r>
              <w:t xml:space="preserve">Primary crosswalk</w:t>
            </w:r>
          </w:p>
        </w:tc>
      </w:tr>
      <w:tr>
        <w:tc>
          <w:tcPr/>
          <w:p>
            <w:pPr>
              <w:pStyle w:val="Compact"/>
            </w:pPr>
            <w:r>
              <w:rPr>
                <w:rStyle w:val="VerbatimChar"/>
              </w:rPr>
              <w:t xml:space="preserve">04_FedRAMP20x_Phase2_Summary.md</w:t>
            </w:r>
          </w:p>
        </w:tc>
        <w:tc>
          <w:tcPr/>
          <w:p>
            <w:pPr>
              <w:pStyle w:val="Compact"/>
            </w:pPr>
            <w:r>
              <w:t xml:space="preserve">FedRAMP 20x to Modernization</w:t>
            </w:r>
          </w:p>
        </w:tc>
        <w:tc>
          <w:tcPr/>
          <w:p>
            <w:pPr>
              <w:pStyle w:val="Compact"/>
            </w:pPr>
            <w:r>
              <w:t xml:space="preserve">Summary mapping</w:t>
            </w:r>
          </w:p>
        </w:tc>
      </w:tr>
      <w:tr>
        <w:tc>
          <w:tcPr/>
          <w:p>
            <w:pPr>
              <w:pStyle w:val="Compact"/>
            </w:pPr>
            <w:r>
              <w:rPr>
                <w:rStyle w:val="VerbatimChar"/>
              </w:rPr>
              <w:t xml:space="preserve">05_ManagementStack.md</w:t>
            </w:r>
          </w:p>
        </w:tc>
        <w:tc>
          <w:tcPr/>
          <w:p>
            <w:pPr>
              <w:pStyle w:val="Compact"/>
            </w:pPr>
            <w:r>
              <w:t xml:space="preserve">NIST CM/IR/AC/IA to ServiceNow/Intune</w:t>
            </w:r>
          </w:p>
        </w:tc>
        <w:tc>
          <w:tcPr/>
          <w:p>
            <w:pPr>
              <w:pStyle w:val="Compact"/>
            </w:pPr>
            <w:r>
              <w:t xml:space="preserve">Management mappings</w:t>
            </w:r>
          </w:p>
        </w:tc>
      </w:tr>
      <w:tr>
        <w:tc>
          <w:tcPr/>
          <w:p>
            <w:pPr>
              <w:pStyle w:val="Compact"/>
            </w:pPr>
            <w:r>
              <w:rPr>
                <w:rStyle w:val="VerbatimChar"/>
              </w:rPr>
              <w:t xml:space="preserve">00_ControlPlaneArchitecture.md</w:t>
            </w:r>
          </w:p>
        </w:tc>
        <w:tc>
          <w:tcPr/>
          <w:p>
            <w:pPr>
              <w:pStyle w:val="Compact"/>
            </w:pPr>
            <w:r>
              <w:t xml:space="preserve">Control planes to NIST</w:t>
            </w:r>
          </w:p>
        </w:tc>
        <w:tc>
          <w:tcPr/>
          <w:p>
            <w:pPr>
              <w:pStyle w:val="Compact"/>
            </w:pPr>
            <w:r>
              <w:t xml:space="preserve">Plane-level mapping</w:t>
            </w:r>
          </w:p>
        </w:tc>
      </w:tr>
      <w:tr>
        <w:tc>
          <w:tcPr/>
          <w:p>
            <w:pPr>
              <w:pStyle w:val="Compact"/>
            </w:pPr>
            <w:r>
              <w:rPr>
                <w:rStyle w:val="VerbatimChar"/>
              </w:rPr>
              <w:t xml:space="preserve">01_UnifiedArchitecture.md</w:t>
            </w:r>
          </w:p>
        </w:tc>
        <w:tc>
          <w:tcPr/>
          <w:p>
            <w:pPr>
              <w:pStyle w:val="Compact"/>
            </w:pPr>
            <w:r>
              <w:t xml:space="preserve">Core concepts to NIST</w:t>
            </w:r>
          </w:p>
        </w:tc>
        <w:tc>
          <w:tcPr/>
          <w:p>
            <w:pPr>
              <w:pStyle w:val="Compact"/>
            </w:pPr>
            <w:r>
              <w:t xml:space="preserve">Conceptual mapping</w:t>
            </w:r>
          </w:p>
        </w:tc>
      </w:tr>
      <w:tr>
        <w:tc>
          <w:tcPr/>
          <w:p>
            <w:pPr>
              <w:pStyle w:val="Compact"/>
            </w:pPr>
            <w:r>
              <w:rPr>
                <w:rStyle w:val="VerbatimChar"/>
              </w:rPr>
              <w:t xml:space="preserve">02_CanonSpecification.md</w:t>
            </w:r>
          </w:p>
        </w:tc>
        <w:tc>
          <w:tcPr/>
          <w:p>
            <w:pPr>
              <w:pStyle w:val="Compact"/>
            </w:pPr>
            <w:r>
              <w:t xml:space="preserve">Canon to NIST/TIC/SCuBA</w:t>
            </w:r>
          </w:p>
        </w:tc>
        <w:tc>
          <w:tcPr/>
          <w:p>
            <w:pPr>
              <w:pStyle w:val="Compact"/>
            </w:pPr>
            <w:r>
              <w:t xml:space="preserve">Doctrinal mapping</w:t>
            </w:r>
          </w:p>
        </w:tc>
      </w:tr>
      <w:tr>
        <w:tc>
          <w:tcPr/>
          <w:p>
            <w:pPr>
              <w:pStyle w:val="Compact"/>
            </w:pPr>
            <w:r>
              <w:rPr>
                <w:rStyle w:val="VerbatimChar"/>
              </w:rPr>
              <w:t xml:space="preserve">15_ProvenanceProfile.md</w:t>
            </w:r>
          </w:p>
        </w:tc>
        <w:tc>
          <w:tcPr/>
          <w:p>
            <w:pPr>
              <w:pStyle w:val="Compact"/>
            </w:pPr>
            <w:r>
              <w:t xml:space="preserve">Provenance to AU-3/AU-9/SI-7/AC-4</w:t>
            </w:r>
          </w:p>
        </w:tc>
        <w:tc>
          <w:tcPr/>
          <w:p>
            <w:pPr>
              <w:pStyle w:val="Compact"/>
            </w:pPr>
            <w:r>
              <w:t xml:space="preserve">Phase 5 — Data Governance Substrate</w:t>
            </w:r>
          </w:p>
        </w:tc>
      </w:tr>
      <w:tr>
        <w:tc>
          <w:tcPr/>
          <w:p>
            <w:pPr>
              <w:pStyle w:val="Compact"/>
            </w:pPr>
            <w:r>
              <w:rPr>
                <w:rStyle w:val="VerbatimChar"/>
              </w:rPr>
              <w:t xml:space="preserve">16_DriftDetectionStandard.md</w:t>
            </w:r>
          </w:p>
        </w:tc>
        <w:tc>
          <w:tcPr/>
          <w:p>
            <w:pPr>
              <w:pStyle w:val="Compact"/>
            </w:pPr>
            <w:r>
              <w:t xml:space="preserve">Drift to CM-3/SI-7/CA-7/IR-6</w:t>
            </w:r>
          </w:p>
        </w:tc>
        <w:tc>
          <w:tcPr/>
          <w:p>
            <w:pPr>
              <w:pStyle w:val="Compact"/>
            </w:pPr>
            <w:r>
              <w:t xml:space="preserve">Phase 5 — Data Governance Substrate</w:t>
            </w:r>
          </w:p>
        </w:tc>
      </w:tr>
      <w:tr>
        <w:tc>
          <w:tcPr/>
          <w:p>
            <w:pPr>
              <w:pStyle w:val="Compact"/>
            </w:pPr>
            <w:r>
              <w:rPr>
                <w:rStyle w:val="VerbatimChar"/>
              </w:rPr>
              <w:t xml:space="preserve">17_ConsentEnvelope.md</w:t>
            </w:r>
          </w:p>
        </w:tc>
        <w:tc>
          <w:tcPr/>
          <w:p>
            <w:pPr>
              <w:pStyle w:val="Compact"/>
            </w:pPr>
            <w:r>
              <w:t xml:space="preserve">Consent to AC-4/AC-22/AR-4/IP-1</w:t>
            </w:r>
          </w:p>
        </w:tc>
        <w:tc>
          <w:tcPr/>
          <w:p>
            <w:pPr>
              <w:pStyle w:val="Compact"/>
            </w:pPr>
            <w:r>
              <w:t xml:space="preserve">Phase 5 — Data Governance Substrate</w:t>
            </w:r>
          </w:p>
        </w:tc>
      </w:tr>
      <w:tr>
        <w:tc>
          <w:tcPr/>
          <w:p>
            <w:pPr>
              <w:pStyle w:val="Compact"/>
            </w:pPr>
            <w:r>
              <w:rPr>
                <w:rStyle w:val="VerbatimChar"/>
              </w:rPr>
              <w:t xml:space="preserve">18_ClaimCatalog.md</w:t>
            </w:r>
          </w:p>
        </w:tc>
        <w:tc>
          <w:tcPr/>
          <w:p>
            <w:pPr>
              <w:pStyle w:val="Compact"/>
            </w:pPr>
            <w:r>
              <w:t xml:space="preserve">Claims to CM-8/SA-4/SI-12</w:t>
            </w:r>
          </w:p>
        </w:tc>
        <w:tc>
          <w:tcPr/>
          <w:p>
            <w:pPr>
              <w:pStyle w:val="Compact"/>
            </w:pPr>
            <w:r>
              <w:t xml:space="preserve">Phase 5 — Data Governance Substrate</w:t>
            </w:r>
          </w:p>
        </w:tc>
      </w:tr>
      <w:tr>
        <w:tc>
          <w:tcPr/>
          <w:p>
            <w:pPr>
              <w:pStyle w:val="Compact"/>
            </w:pPr>
            <w:r>
              <w:rPr>
                <w:rStyle w:val="VerbatimChar"/>
              </w:rPr>
              <w:t xml:space="preserve">19_ReconciliationModel.md</w:t>
            </w:r>
          </w:p>
        </w:tc>
        <w:tc>
          <w:tcPr/>
          <w:p>
            <w:pPr>
              <w:pStyle w:val="Compact"/>
            </w:pPr>
            <w:r>
              <w:t xml:space="preserve">Reconciliation to AU-3/IR-4/SA-9/PM-16</w:t>
            </w:r>
          </w:p>
        </w:tc>
        <w:tc>
          <w:tcPr/>
          <w:p>
            <w:pPr>
              <w:pStyle w:val="Compact"/>
            </w:pPr>
            <w:r>
              <w:t xml:space="preserve">Phase 5 — Data Governance Substrate</w:t>
            </w:r>
          </w:p>
        </w:tc>
      </w:tr>
    </w:tbl>
    <w:p>
      <w:pPr>
        <w:pStyle w:val="BodyText"/>
      </w:pPr>
      <w:r>
        <w:t xml:space="preserve">This table is the master reference for all compliance-related documents.</w:t>
      </w:r>
    </w:p>
    <w:p>
      <w:r>
        <w:pict>
          <v:rect style="width:0;height:1.5pt" o:hralign="center" o:hrstd="t" o:hr="t"/>
        </w:pict>
      </w:r>
    </w:p>
    <w:bookmarkEnd w:id="28"/>
    <w:bookmarkEnd w:id="29"/>
    <w:bookmarkStart w:id="33" w:name="runtime-model"/>
    <w:p>
      <w:pPr>
        <w:pStyle w:val="Heading2"/>
      </w:pPr>
      <w:r>
        <w:t xml:space="preserve">1.7 7. Runtime Model</w:t>
      </w:r>
    </w:p>
    <w:p>
      <w:pPr>
        <w:pStyle w:val="FirstParagraph"/>
      </w:pPr>
      <w:r>
        <w:t xml:space="preserve">The Crosswalk Index follows the UIAO runtime model:</w:t>
      </w:r>
    </w:p>
    <w:bookmarkStart w:id="30" w:name="conversation-level-mapping"/>
    <w:p>
      <w:pPr>
        <w:pStyle w:val="Heading3"/>
      </w:pPr>
      <w:r>
        <w:t xml:space="preserve">1.7.1 7.1 Conversation-Level Mapping</w:t>
      </w:r>
    </w:p>
    <w:p>
      <w:pPr>
        <w:pStyle w:val="FirstParagraph"/>
      </w:pPr>
      <w:r>
        <w:t xml:space="preserve">Every crosswalk ties back to:</w:t>
      </w:r>
    </w:p>
    <w:p>
      <w:pPr>
        <w:pStyle w:val="Compact"/>
        <w:numPr>
          <w:ilvl w:val="0"/>
          <w:numId w:val="1005"/>
        </w:numPr>
      </w:pPr>
      <w:r>
        <w:t xml:space="preserve">Identity</w:t>
      </w:r>
    </w:p>
    <w:p>
      <w:pPr>
        <w:pStyle w:val="Compact"/>
        <w:numPr>
          <w:ilvl w:val="0"/>
          <w:numId w:val="1005"/>
        </w:numPr>
      </w:pPr>
      <w:r>
        <w:t xml:space="preserve">Addressing</w:t>
      </w:r>
    </w:p>
    <w:p>
      <w:pPr>
        <w:pStyle w:val="Compact"/>
        <w:numPr>
          <w:ilvl w:val="0"/>
          <w:numId w:val="1005"/>
        </w:numPr>
      </w:pPr>
      <w:r>
        <w:t xml:space="preserve">Certificates</w:t>
      </w:r>
    </w:p>
    <w:p>
      <w:pPr>
        <w:pStyle w:val="Compact"/>
        <w:numPr>
          <w:ilvl w:val="0"/>
          <w:numId w:val="1005"/>
        </w:numPr>
      </w:pPr>
      <w:r>
        <w:t xml:space="preserve">Path</w:t>
      </w:r>
    </w:p>
    <w:p>
      <w:pPr>
        <w:pStyle w:val="Compact"/>
        <w:numPr>
          <w:ilvl w:val="0"/>
          <w:numId w:val="1005"/>
        </w:numPr>
      </w:pPr>
      <w:r>
        <w:t xml:space="preserve">Telemetry</w:t>
      </w:r>
    </w:p>
    <w:p>
      <w:pPr>
        <w:pStyle w:val="Compact"/>
        <w:numPr>
          <w:ilvl w:val="0"/>
          <w:numId w:val="1005"/>
        </w:numPr>
      </w:pPr>
      <w:r>
        <w:t xml:space="preserve">Policy</w:t>
      </w:r>
    </w:p>
    <w:bookmarkEnd w:id="30"/>
    <w:bookmarkStart w:id="31" w:name="deterministic-mapping"/>
    <w:p>
      <w:pPr>
        <w:pStyle w:val="Heading3"/>
      </w:pPr>
      <w:r>
        <w:t xml:space="preserve">1.7.2 7.2 Deterministic Mapping</w:t>
      </w:r>
    </w:p>
    <w:p>
      <w:pPr>
        <w:pStyle w:val="FirstParagraph"/>
      </w:pPr>
      <w:r>
        <w:t xml:space="preserve">Given identical identity, boundary, telemetry, and assurance inputs, crosswalk outputs remain consistent across:</w:t>
      </w:r>
    </w:p>
    <w:p>
      <w:pPr>
        <w:pStyle w:val="Compact"/>
        <w:numPr>
          <w:ilvl w:val="0"/>
          <w:numId w:val="1006"/>
        </w:numPr>
      </w:pPr>
      <w:r>
        <w:t xml:space="preserve">Clouds</w:t>
      </w:r>
    </w:p>
    <w:p>
      <w:pPr>
        <w:pStyle w:val="Compact"/>
        <w:numPr>
          <w:ilvl w:val="0"/>
          <w:numId w:val="1006"/>
        </w:numPr>
      </w:pPr>
      <w:r>
        <w:t xml:space="preserve">Agencies</w:t>
      </w:r>
    </w:p>
    <w:p>
      <w:pPr>
        <w:pStyle w:val="Compact"/>
        <w:numPr>
          <w:ilvl w:val="0"/>
          <w:numId w:val="1006"/>
        </w:numPr>
      </w:pPr>
      <w:r>
        <w:t xml:space="preserve">Implementations</w:t>
      </w:r>
    </w:p>
    <w:bookmarkEnd w:id="31"/>
    <w:bookmarkStart w:id="32" w:name="continuous-evaluation"/>
    <w:p>
      <w:pPr>
        <w:pStyle w:val="Heading3"/>
      </w:pPr>
      <w:r>
        <w:t xml:space="preserve">1.7.3 7.3 Continuous Evaluation</w:t>
      </w:r>
    </w:p>
    <w:p>
      <w:pPr>
        <w:pStyle w:val="FirstParagraph"/>
      </w:pPr>
      <w:r>
        <w:t xml:space="preserve">Crosswalks support CA-7 continuous monitoring and SI-4 anomaly detection.</w:t>
      </w:r>
    </w:p>
    <w:p>
      <w:r>
        <w:pict>
          <v:rect style="width:0;height:1.5pt" o:hralign="center" o:hrstd="t" o:hr="t"/>
        </w:pict>
      </w:r>
    </w:p>
    <w:bookmarkEnd w:id="32"/>
    <w:bookmarkEnd w:id="33"/>
    <w:bookmarkStart w:id="40" w:name="crosswalk-index-master-table"/>
    <w:p>
      <w:pPr>
        <w:pStyle w:val="Heading2"/>
      </w:pPr>
      <w:r>
        <w:t xml:space="preserve">1.8 8. Crosswalk Index (Master Table)</w:t>
      </w:r>
    </w:p>
    <w:p>
      <w:pPr>
        <w:pStyle w:val="FirstParagraph"/>
      </w:pPr>
      <w:r>
        <w:t xml:space="preserve">Below is the canonical master index of all crosswalks in the UIAO canon.</w:t>
      </w:r>
    </w:p>
    <w:bookmarkStart w:id="34" w:name="fedramp-20x-crosswalk-index"/>
    <w:p>
      <w:pPr>
        <w:pStyle w:val="Heading3"/>
      </w:pPr>
      <w:r>
        <w:t xml:space="preserve">1.8.1 8.1 FedRAMP 20x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Reference</w:t>
            </w:r>
          </w:p>
        </w:tc>
        <w:tc>
          <w:tcPr/>
          <w:p>
            <w:pPr>
              <w:pStyle w:val="Compact"/>
            </w:pPr>
            <w:r>
              <w:t xml:space="preserve">Document</w:t>
            </w:r>
          </w:p>
        </w:tc>
      </w:tr>
      <w:tr>
        <w:tc>
          <w:tcPr/>
          <w:p>
            <w:pPr>
              <w:pStyle w:val="Compact"/>
            </w:pPr>
            <w:r>
              <w:t xml:space="preserve">FedRAMP 20x to UIAO</w:t>
            </w:r>
          </w:p>
        </w:tc>
        <w:tc>
          <w:tcPr/>
          <w:p>
            <w:pPr>
              <w:pStyle w:val="Compact"/>
            </w:pPr>
            <w:r>
              <w:t xml:space="preserve">Full mapping</w:t>
            </w:r>
          </w:p>
        </w:tc>
        <w:tc>
          <w:tcPr/>
          <w:p>
            <w:pPr>
              <w:pStyle w:val="Compact"/>
            </w:pPr>
            <w:r>
              <w:rPr>
                <w:rStyle w:val="VerbatimChar"/>
              </w:rPr>
              <w:t xml:space="preserve">03_FedRAMP20x_Crosswalk.md</w:t>
            </w:r>
          </w:p>
        </w:tc>
      </w:tr>
      <w:tr>
        <w:tc>
          <w:tcPr/>
          <w:p>
            <w:pPr>
              <w:pStyle w:val="Compact"/>
            </w:pPr>
            <w:r>
              <w:t xml:space="preserve">Phase 2 Summary</w:t>
            </w:r>
          </w:p>
        </w:tc>
        <w:tc>
          <w:tcPr/>
          <w:p>
            <w:pPr>
              <w:pStyle w:val="Compact"/>
            </w:pPr>
            <w:r>
              <w:t xml:space="preserve">Modernization alignment</w:t>
            </w:r>
          </w:p>
        </w:tc>
        <w:tc>
          <w:tcPr/>
          <w:p>
            <w:pPr>
              <w:pStyle w:val="Compact"/>
            </w:pPr>
            <w:r>
              <w:rPr>
                <w:rStyle w:val="VerbatimChar"/>
              </w:rPr>
              <w:t xml:space="preserve">04_FedRAMP20x_Phase2_Summary.md</w:t>
            </w:r>
          </w:p>
        </w:tc>
      </w:tr>
      <w:tr>
        <w:tc>
          <w:tcPr/>
          <w:p>
            <w:pPr>
              <w:pStyle w:val="Compact"/>
            </w:pPr>
            <w:r>
              <w:t xml:space="preserve">Evidence Sources</w:t>
            </w:r>
          </w:p>
        </w:tc>
        <w:tc>
          <w:tcPr/>
          <w:p>
            <w:pPr>
              <w:pStyle w:val="Compact"/>
            </w:pPr>
            <w:r>
              <w:t xml:space="preserve">Telemetry, identity, addressing</w:t>
            </w:r>
          </w:p>
        </w:tc>
        <w:tc>
          <w:tcPr/>
          <w:p>
            <w:pPr>
              <w:pStyle w:val="Compact"/>
            </w:pPr>
            <w:r>
              <w:rPr>
                <w:rStyle w:val="VerbatimChar"/>
              </w:rPr>
              <w:t xml:space="preserve">03_FedRAMP20x_Crosswalk.md</w:t>
            </w:r>
          </w:p>
        </w:tc>
      </w:tr>
    </w:tbl>
    <w:bookmarkEnd w:id="34"/>
    <w:bookmarkStart w:id="35" w:name="nist-sp-800-53-rev-5-crosswalk-index"/>
    <w:p>
      <w:pPr>
        <w:pStyle w:val="Heading3"/>
      </w:pPr>
      <w:r>
        <w:t xml:space="preserve">1.8.2 8.2 NIST SP 800-53 Rev 5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Family</w:t>
            </w:r>
          </w:p>
        </w:tc>
        <w:tc>
          <w:tcPr/>
          <w:p>
            <w:pPr>
              <w:pStyle w:val="Compact"/>
            </w:pPr>
            <w:r>
              <w:t xml:space="preserve">Reference</w:t>
            </w:r>
          </w:p>
        </w:tc>
        <w:tc>
          <w:tcPr/>
          <w:p>
            <w:pPr>
              <w:pStyle w:val="Compact"/>
            </w:pPr>
            <w:r>
              <w:t xml:space="preserve">Document</w:t>
            </w:r>
          </w:p>
        </w:tc>
      </w:tr>
      <w:tr>
        <w:tc>
          <w:tcPr/>
          <w:p>
            <w:pPr>
              <w:pStyle w:val="Compact"/>
            </w:pPr>
            <w:r>
              <w:t xml:space="preserve">AC (Access Control)</w:t>
            </w:r>
          </w:p>
        </w:tc>
        <w:tc>
          <w:tcPr/>
          <w:p>
            <w:pPr>
              <w:pStyle w:val="Compact"/>
            </w:pPr>
            <w:r>
              <w:t xml:space="preserve">Identity, segmentation</w:t>
            </w:r>
          </w:p>
        </w:tc>
        <w:tc>
          <w:tcPr/>
          <w:p>
            <w:pPr>
              <w:pStyle w:val="Compact"/>
            </w:pPr>
            <w:r>
              <w:rPr>
                <w:rStyle w:val="VerbatimChar"/>
              </w:rPr>
              <w:t xml:space="preserve">00_ControlPlaneArchitecture.md</w:t>
            </w:r>
          </w:p>
        </w:tc>
      </w:tr>
      <w:tr>
        <w:tc>
          <w:tcPr/>
          <w:p>
            <w:pPr>
              <w:pStyle w:val="Compact"/>
            </w:pPr>
            <w:r>
              <w:t xml:space="preserve">IA (Identity and Auth)</w:t>
            </w:r>
          </w:p>
        </w:tc>
        <w:tc>
          <w:tcPr/>
          <w:p>
            <w:pPr>
              <w:pStyle w:val="Compact"/>
            </w:pPr>
            <w:r>
              <w:t xml:space="preserve">Identity assurance</w:t>
            </w:r>
          </w:p>
        </w:tc>
        <w:tc>
          <w:tcPr/>
          <w:p>
            <w:pPr>
              <w:pStyle w:val="Compact"/>
            </w:pPr>
            <w:r>
              <w:rPr>
                <w:rStyle w:val="VerbatimChar"/>
              </w:rPr>
              <w:t xml:space="preserve">01_UnifiedArchitecture.md</w:t>
            </w:r>
          </w:p>
        </w:tc>
      </w:tr>
      <w:tr>
        <w:tc>
          <w:tcPr/>
          <w:p>
            <w:pPr>
              <w:pStyle w:val="Compact"/>
            </w:pPr>
            <w:r>
              <w:t xml:space="preserve">CM (Configuration Mgmt)</w:t>
            </w:r>
          </w:p>
        </w:tc>
        <w:tc>
          <w:tcPr/>
          <w:p>
            <w:pPr>
              <w:pStyle w:val="Compact"/>
            </w:pPr>
            <w:r>
              <w:t xml:space="preserve">CMDB, Intune, drift</w:t>
            </w:r>
          </w:p>
        </w:tc>
        <w:tc>
          <w:tcPr/>
          <w:p>
            <w:pPr>
              <w:pStyle w:val="Compact"/>
            </w:pPr>
            <w:r>
              <w:rPr>
                <w:rStyle w:val="VerbatimChar"/>
              </w:rPr>
              <w:t xml:space="preserve">05_ManagementStack.md</w:t>
            </w:r>
          </w:p>
        </w:tc>
      </w:tr>
      <w:tr>
        <w:tc>
          <w:tcPr/>
          <w:p>
            <w:pPr>
              <w:pStyle w:val="Compact"/>
            </w:pPr>
            <w:r>
              <w:t xml:space="preserve">SC (System and Comm)</w:t>
            </w:r>
          </w:p>
        </w:tc>
        <w:tc>
          <w:tcPr/>
          <w:p>
            <w:pPr>
              <w:pStyle w:val="Compact"/>
            </w:pPr>
            <w:r>
              <w:t xml:space="preserve">mTLS, overlay</w:t>
            </w:r>
          </w:p>
        </w:tc>
        <w:tc>
          <w:tcPr/>
          <w:p>
            <w:pPr>
              <w:pStyle w:val="Compact"/>
            </w:pPr>
            <w:r>
              <w:rPr>
                <w:rStyle w:val="VerbatimChar"/>
              </w:rPr>
              <w:t xml:space="preserve">00_ControlPlaneArchitecture.md</w:t>
            </w:r>
          </w:p>
        </w:tc>
      </w:tr>
      <w:tr>
        <w:tc>
          <w:tcPr/>
          <w:p>
            <w:pPr>
              <w:pStyle w:val="Compact"/>
            </w:pPr>
            <w:r>
              <w:t xml:space="preserve">SI (System Integrity)</w:t>
            </w:r>
          </w:p>
        </w:tc>
        <w:tc>
          <w:tcPr/>
          <w:p>
            <w:pPr>
              <w:pStyle w:val="Compact"/>
            </w:pPr>
            <w:r>
              <w:t xml:space="preserve">Telemetry</w:t>
            </w:r>
          </w:p>
        </w:tc>
        <w:tc>
          <w:tcPr/>
          <w:p>
            <w:pPr>
              <w:pStyle w:val="Compact"/>
            </w:pPr>
            <w:r>
              <w:rPr>
                <w:rStyle w:val="VerbatimChar"/>
              </w:rPr>
              <w:t xml:space="preserve">03_FedRAMP20x_Crosswalk.md</w:t>
            </w:r>
          </w:p>
        </w:tc>
      </w:tr>
      <w:tr>
        <w:tc>
          <w:tcPr/>
          <w:p>
            <w:pPr>
              <w:pStyle w:val="Compact"/>
            </w:pPr>
            <w:r>
              <w:t xml:space="preserve">CA (Assessment)</w:t>
            </w:r>
          </w:p>
        </w:tc>
        <w:tc>
          <w:tcPr/>
          <w:p>
            <w:pPr>
              <w:pStyle w:val="Compact"/>
            </w:pPr>
            <w:r>
              <w:t xml:space="preserve">Continuous monitoring</w:t>
            </w:r>
          </w:p>
        </w:tc>
        <w:tc>
          <w:tcPr/>
          <w:p>
            <w:pPr>
              <w:pStyle w:val="Compact"/>
            </w:pPr>
            <w:r>
              <w:rPr>
                <w:rStyle w:val="VerbatimChar"/>
              </w:rPr>
              <w:t xml:space="preserve">05_ManagementStack.md</w:t>
            </w:r>
          </w:p>
        </w:tc>
      </w:tr>
    </w:tbl>
    <w:bookmarkEnd w:id="35"/>
    <w:bookmarkStart w:id="36" w:name="tic-3.0-crosswalk-index"/>
    <w:p>
      <w:pPr>
        <w:pStyle w:val="Heading3"/>
      </w:pPr>
      <w:r>
        <w:t xml:space="preserve">1.8.3 8.3 TIC 3.0 Crosswalk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TIC Use Case</w:t>
            </w:r>
          </w:p>
        </w:tc>
        <w:tc>
          <w:tcPr/>
          <w:p>
            <w:pPr>
              <w:pStyle w:val="Compact"/>
            </w:pPr>
            <w:r>
              <w:t xml:space="preserve">Reference</w:t>
            </w:r>
          </w:p>
        </w:tc>
        <w:tc>
          <w:tcPr/>
          <w:p>
            <w:pPr>
              <w:pStyle w:val="Compact"/>
            </w:pPr>
            <w:r>
              <w:t xml:space="preserve">Document</w:t>
            </w:r>
          </w:p>
        </w:tc>
      </w:tr>
      <w:tr>
        <w:tc>
          <w:tcPr/>
          <w:p>
            <w:pPr>
              <w:pStyle w:val="Compact"/>
            </w:pPr>
            <w:r>
              <w:t xml:space="preserve">Cloud</w:t>
            </w:r>
          </w:p>
        </w:tc>
        <w:tc>
          <w:tcPr/>
          <w:p>
            <w:pPr>
              <w:pStyle w:val="Compact"/>
            </w:pPr>
            <w:r>
              <w:t xml:space="preserve">Identity-aware routing</w:t>
            </w:r>
          </w:p>
        </w:tc>
        <w:tc>
          <w:tcPr/>
          <w:p>
            <w:pPr>
              <w:pStyle w:val="Compact"/>
            </w:pPr>
            <w:r>
              <w:rPr>
                <w:rStyle w:val="VerbatimChar"/>
              </w:rPr>
              <w:t xml:space="preserve">04_FedRAMP20x_Phase2_Summary.md</w:t>
            </w:r>
          </w:p>
        </w:tc>
      </w:tr>
      <w:tr>
        <w:tc>
          <w:tcPr/>
          <w:p>
            <w:pPr>
              <w:pStyle w:val="Compact"/>
            </w:pPr>
            <w:r>
              <w:t xml:space="preserve">Branch</w:t>
            </w:r>
          </w:p>
        </w:tc>
        <w:tc>
          <w:tcPr/>
          <w:p>
            <w:pPr>
              <w:pStyle w:val="Compact"/>
            </w:pPr>
            <w:r>
              <w:t xml:space="preserve">SD-WAN segmentation</w:t>
            </w:r>
          </w:p>
        </w:tc>
        <w:tc>
          <w:tcPr/>
          <w:p>
            <w:pPr>
              <w:pStyle w:val="Compact"/>
            </w:pPr>
            <w:r>
              <w:rPr>
                <w:rStyle w:val="VerbatimChar"/>
              </w:rPr>
              <w:t xml:space="preserve">04_FedRAMP20x_Phase2_Summary.md</w:t>
            </w:r>
          </w:p>
        </w:tc>
      </w:tr>
      <w:tr>
        <w:tc>
          <w:tcPr/>
          <w:p>
            <w:pPr>
              <w:pStyle w:val="Compact"/>
            </w:pPr>
            <w:r>
              <w:t xml:space="preserve">Identity</w:t>
            </w:r>
          </w:p>
        </w:tc>
        <w:tc>
          <w:tcPr/>
          <w:p>
            <w:pPr>
              <w:pStyle w:val="Compact"/>
            </w:pPr>
            <w:r>
              <w:t xml:space="preserve">ICAM governance</w:t>
            </w:r>
          </w:p>
        </w:tc>
        <w:tc>
          <w:tcPr/>
          <w:p>
            <w:pPr>
              <w:pStyle w:val="Compact"/>
            </w:pPr>
            <w:r>
              <w:rPr>
                <w:rStyle w:val="VerbatimChar"/>
              </w:rPr>
              <w:t xml:space="preserve">06_ProgramVision.md</w:t>
            </w:r>
          </w:p>
        </w:tc>
      </w:tr>
    </w:tbl>
    <w:bookmarkEnd w:id="36"/>
    <w:bookmarkStart w:id="37" w:name="scuba-m365-crosswalk-index"/>
    <w:p>
      <w:pPr>
        <w:pStyle w:val="Heading3"/>
      </w:pPr>
      <w:r>
        <w:t xml:space="preserve">1.8.4 8.4 SCuBA (M365) Crosswalk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Reference</w:t>
            </w:r>
          </w:p>
        </w:tc>
        <w:tc>
          <w:tcPr/>
          <w:p>
            <w:pPr>
              <w:pStyle w:val="Compact"/>
            </w:pPr>
            <w:r>
              <w:t xml:space="preserve">Document</w:t>
            </w:r>
          </w:p>
        </w:tc>
      </w:tr>
      <w:tr>
        <w:tc>
          <w:tcPr/>
          <w:p>
            <w:pPr>
              <w:pStyle w:val="Compact"/>
            </w:pPr>
            <w:r>
              <w:t xml:space="preserve">Identity Hardening</w:t>
            </w:r>
          </w:p>
        </w:tc>
        <w:tc>
          <w:tcPr/>
          <w:p>
            <w:pPr>
              <w:pStyle w:val="Compact"/>
            </w:pPr>
            <w:r>
              <w:t xml:space="preserve">MFA, CA, PIM</w:t>
            </w:r>
          </w:p>
        </w:tc>
        <w:tc>
          <w:tcPr/>
          <w:p>
            <w:pPr>
              <w:pStyle w:val="Compact"/>
            </w:pPr>
            <w:r>
              <w:rPr>
                <w:rStyle w:val="VerbatimChar"/>
              </w:rPr>
              <w:t xml:space="preserve">06_ProgramVision.md</w:t>
            </w:r>
          </w:p>
        </w:tc>
      </w:tr>
      <w:tr>
        <w:tc>
          <w:tcPr/>
          <w:p>
            <w:pPr>
              <w:pStyle w:val="Compact"/>
            </w:pPr>
            <w:r>
              <w:t xml:space="preserve">Telemetry</w:t>
            </w:r>
          </w:p>
        </w:tc>
        <w:tc>
          <w:tcPr/>
          <w:p>
            <w:pPr>
              <w:pStyle w:val="Compact"/>
            </w:pPr>
            <w:r>
              <w:t xml:space="preserve">M365 Network Telemetry</w:t>
            </w:r>
          </w:p>
        </w:tc>
        <w:tc>
          <w:tcPr/>
          <w:p>
            <w:pPr>
              <w:pStyle w:val="Compact"/>
            </w:pPr>
            <w:r>
              <w:rPr>
                <w:rStyle w:val="VerbatimChar"/>
              </w:rPr>
              <w:t xml:space="preserve">08_ModernizationTimeline.md</w:t>
            </w:r>
          </w:p>
        </w:tc>
      </w:tr>
      <w:tr>
        <w:tc>
          <w:tcPr/>
          <w:p>
            <w:pPr>
              <w:pStyle w:val="Compact"/>
            </w:pPr>
            <w:r>
              <w:t xml:space="preserve">Governance</w:t>
            </w:r>
          </w:p>
        </w:tc>
        <w:tc>
          <w:tcPr/>
          <w:p>
            <w:pPr>
              <w:pStyle w:val="Compact"/>
            </w:pPr>
            <w:r>
              <w:t xml:space="preserve">ICAM alignment</w:t>
            </w:r>
          </w:p>
        </w:tc>
        <w:tc>
          <w:tcPr/>
          <w:p>
            <w:pPr>
              <w:pStyle w:val="Compact"/>
            </w:pPr>
            <w:r>
              <w:rPr>
                <w:rStyle w:val="VerbatimChar"/>
              </w:rPr>
              <w:t xml:space="preserve">02_CanonSpecification.md</w:t>
            </w:r>
          </w:p>
        </w:tc>
      </w:tr>
    </w:tbl>
    <w:bookmarkEnd w:id="37"/>
    <w:bookmarkStart w:id="38" w:name="ksi-key-security-indicator-index"/>
    <w:p>
      <w:pPr>
        <w:pStyle w:val="Heading3"/>
      </w:pPr>
      <w:r>
        <w:t xml:space="preserve">1.8.5 8.5 KSI (Key Security Indicator) Index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KSI</w:t>
            </w:r>
          </w:p>
        </w:tc>
        <w:tc>
          <w:tcPr/>
          <w:p>
            <w:pPr>
              <w:pStyle w:val="Compact"/>
            </w:pPr>
            <w:r>
              <w:t xml:space="preserve">Description</w:t>
            </w:r>
          </w:p>
        </w:tc>
        <w:tc>
          <w:tcPr/>
          <w:p>
            <w:pPr>
              <w:pStyle w:val="Compact"/>
            </w:pPr>
            <w:r>
              <w:t xml:space="preserve">Document</w:t>
            </w:r>
          </w:p>
        </w:tc>
      </w:tr>
      <w:tr>
        <w:tc>
          <w:tcPr/>
          <w:p>
            <w:pPr>
              <w:pStyle w:val="Compact"/>
            </w:pPr>
            <w:r>
              <w:t xml:space="preserve">KSI-IAM</w:t>
            </w:r>
          </w:p>
        </w:tc>
        <w:tc>
          <w:tcPr/>
          <w:p>
            <w:pPr>
              <w:pStyle w:val="Compact"/>
            </w:pPr>
            <w:r>
              <w:t xml:space="preserve">Identity authentication</w:t>
            </w:r>
          </w:p>
        </w:tc>
        <w:tc>
          <w:tcPr/>
          <w:p>
            <w:pPr>
              <w:pStyle w:val="Compact"/>
            </w:pPr>
            <w:r>
              <w:rPr>
                <w:rStyle w:val="VerbatimChar"/>
              </w:rPr>
              <w:t xml:space="preserve">03_FedRAMP20x_Crosswalk.md</w:t>
            </w:r>
          </w:p>
        </w:tc>
      </w:tr>
      <w:tr>
        <w:tc>
          <w:tcPr/>
          <w:p>
            <w:pPr>
              <w:pStyle w:val="Compact"/>
            </w:pPr>
            <w:r>
              <w:t xml:space="preserve">KSI-PIY</w:t>
            </w:r>
          </w:p>
        </w:tc>
        <w:tc>
          <w:tcPr/>
          <w:p>
            <w:pPr>
              <w:pStyle w:val="Compact"/>
            </w:pPr>
            <w:r>
              <w:t xml:space="preserve">Deterministic inventory</w:t>
            </w:r>
          </w:p>
        </w:tc>
        <w:tc>
          <w:tcPr/>
          <w:p>
            <w:pPr>
              <w:pStyle w:val="Compact"/>
            </w:pPr>
            <w:r>
              <w:rPr>
                <w:rStyle w:val="VerbatimChar"/>
              </w:rPr>
              <w:t xml:space="preserve">05_ManagementStack.md</w:t>
            </w:r>
          </w:p>
        </w:tc>
      </w:tr>
      <w:tr>
        <w:tc>
          <w:tcPr/>
          <w:p>
            <w:pPr>
              <w:pStyle w:val="Compact"/>
            </w:pPr>
            <w:r>
              <w:t xml:space="preserve">KSI-MLA</w:t>
            </w:r>
          </w:p>
        </w:tc>
        <w:tc>
          <w:tcPr/>
          <w:p>
            <w:pPr>
              <w:pStyle w:val="Compact"/>
            </w:pPr>
            <w:r>
              <w:t xml:space="preserve">Network health</w:t>
            </w:r>
          </w:p>
        </w:tc>
        <w:tc>
          <w:tcPr/>
          <w:p>
            <w:pPr>
              <w:pStyle w:val="Compact"/>
            </w:pPr>
            <w:r>
              <w:rPr>
                <w:rStyle w:val="VerbatimChar"/>
              </w:rPr>
              <w:t xml:space="preserve">03_FedRAMP20x_Crosswalk.md</w:t>
            </w:r>
          </w:p>
        </w:tc>
      </w:tr>
      <w:tr>
        <w:tc>
          <w:tcPr/>
          <w:p>
            <w:pPr>
              <w:pStyle w:val="Compact"/>
            </w:pPr>
            <w:r>
              <w:t xml:space="preserve">KSI-SVC</w:t>
            </w:r>
          </w:p>
        </w:tc>
        <w:tc>
          <w:tcPr/>
          <w:p>
            <w:pPr>
              <w:pStyle w:val="Compact"/>
            </w:pPr>
            <w:r>
              <w:t xml:space="preserve">Certificate enforcement</w:t>
            </w:r>
          </w:p>
        </w:tc>
        <w:tc>
          <w:tcPr/>
          <w:p>
            <w:pPr>
              <w:pStyle w:val="Compact"/>
            </w:pPr>
            <w:r>
              <w:rPr>
                <w:rStyle w:val="VerbatimChar"/>
              </w:rPr>
              <w:t xml:space="preserve">00_ControlPlaneArchitecture.md</w:t>
            </w:r>
          </w:p>
        </w:tc>
      </w:tr>
      <w:tr>
        <w:tc>
          <w:tcPr/>
          <w:p>
            <w:pPr>
              <w:pStyle w:val="Compact"/>
            </w:pPr>
            <w:r>
              <w:t xml:space="preserve">KSI-CMT</w:t>
            </w:r>
          </w:p>
        </w:tc>
        <w:tc>
          <w:tcPr/>
          <w:p>
            <w:pPr>
              <w:pStyle w:val="Compact"/>
            </w:pPr>
            <w:r>
              <w:t xml:space="preserve">Baseline drift</w:t>
            </w:r>
          </w:p>
        </w:tc>
        <w:tc>
          <w:tcPr/>
          <w:p>
            <w:pPr>
              <w:pStyle w:val="Compact"/>
            </w:pPr>
            <w:r>
              <w:rPr>
                <w:rStyle w:val="VerbatimChar"/>
              </w:rPr>
              <w:t xml:space="preserve">05_ManagementStack.md</w:t>
            </w:r>
          </w:p>
        </w:tc>
      </w:tr>
      <w:tr>
        <w:tc>
          <w:tcPr/>
          <w:p>
            <w:pPr>
              <w:pStyle w:val="Compact"/>
            </w:pPr>
            <w:r>
              <w:t xml:space="preserve">KSI-CNA</w:t>
            </w:r>
          </w:p>
        </w:tc>
        <w:tc>
          <w:tcPr/>
          <w:p>
            <w:pPr>
              <w:pStyle w:val="Compact"/>
            </w:pPr>
            <w:r>
              <w:t xml:space="preserve">Conversation metadata</w:t>
            </w:r>
          </w:p>
        </w:tc>
        <w:tc>
          <w:tcPr/>
          <w:p>
            <w:pPr>
              <w:pStyle w:val="Compact"/>
            </w:pPr>
            <w:r>
              <w:rPr>
                <w:rStyle w:val="VerbatimChar"/>
              </w:rPr>
              <w:t xml:space="preserve">01_UnifiedArchitecture.md</w:t>
            </w:r>
          </w:p>
        </w:tc>
      </w:tr>
      <w:tr>
        <w:tc>
          <w:tcPr/>
          <w:p>
            <w:pPr>
              <w:pStyle w:val="Compact"/>
            </w:pPr>
            <w:r>
              <w:t xml:space="preserve">KSI-CED</w:t>
            </w:r>
          </w:p>
        </w:tc>
        <w:tc>
          <w:tcPr/>
          <w:p>
            <w:pPr>
              <w:pStyle w:val="Compact"/>
            </w:pPr>
            <w:r>
              <w:t xml:space="preserve">Data minimization</w:t>
            </w:r>
          </w:p>
        </w:tc>
        <w:tc>
          <w:tcPr/>
          <w:p>
            <w:pPr>
              <w:pStyle w:val="Compact"/>
            </w:pPr>
            <w:r>
              <w:rPr>
                <w:rStyle w:val="VerbatimChar"/>
              </w:rPr>
              <w:t xml:space="preserve">02_CanonSpecification.md</w:t>
            </w:r>
          </w:p>
        </w:tc>
      </w:tr>
    </w:tbl>
    <w:bookmarkEnd w:id="38"/>
    <w:bookmarkStart w:id="39" w:name="Xbe3e2a40f5b8c80e1aabc910b5d19bbfff9cd08"/>
    <w:p>
      <w:pPr>
        <w:pStyle w:val="Heading3"/>
      </w:pPr>
      <w:r>
        <w:t xml:space="preserve">1.8.6 8.6 Phase 5 — Data Governance Substrate Crosswalk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Crosswalk Type</w:t>
            </w:r>
          </w:p>
        </w:tc>
        <w:tc>
          <w:tcPr/>
          <w:p>
            <w:pPr>
              <w:pStyle w:val="Compact"/>
            </w:pPr>
            <w:r>
              <w:t xml:space="preserve">Reference</w:t>
            </w:r>
          </w:p>
        </w:tc>
      </w:tr>
      <w:tr>
        <w:tc>
          <w:tcPr/>
          <w:p>
            <w:pPr>
              <w:pStyle w:val="Compact"/>
            </w:pPr>
            <w:r>
              <w:rPr>
                <w:rStyle w:val="VerbatimChar"/>
              </w:rPr>
              <w:t xml:space="preserve">15_ProvenanceProfile.md</w:t>
            </w:r>
          </w:p>
        </w:tc>
        <w:tc>
          <w:tcPr/>
          <w:p>
            <w:pPr>
              <w:pStyle w:val="Compact"/>
            </w:pPr>
            <w:r>
              <w:t xml:space="preserve">Provenance to NIST AU/SI/AC</w:t>
            </w:r>
          </w:p>
        </w:tc>
        <w:tc>
          <w:tcPr/>
          <w:p>
            <w:pPr>
              <w:pStyle w:val="Compact"/>
            </w:pPr>
            <w:r>
              <w:t xml:space="preserve">Lineage, audit, integrity</w:t>
            </w:r>
          </w:p>
        </w:tc>
      </w:tr>
      <w:tr>
        <w:tc>
          <w:tcPr/>
          <w:p>
            <w:pPr>
              <w:pStyle w:val="Compact"/>
            </w:pPr>
            <w:r>
              <w:rPr>
                <w:rStyle w:val="VerbatimChar"/>
              </w:rPr>
              <w:t xml:space="preserve">16_DriftDetectionStandard.md</w:t>
            </w:r>
          </w:p>
        </w:tc>
        <w:tc>
          <w:tcPr/>
          <w:p>
            <w:pPr>
              <w:pStyle w:val="Compact"/>
            </w:pPr>
            <w:r>
              <w:t xml:space="preserve">Drift to NIST CM/SI/CA/IR</w:t>
            </w:r>
          </w:p>
        </w:tc>
        <w:tc>
          <w:tcPr/>
          <w:p>
            <w:pPr>
              <w:pStyle w:val="Compact"/>
            </w:pPr>
            <w:r>
              <w:t xml:space="preserve">Configuration, monitoring, incident</w:t>
            </w:r>
          </w:p>
        </w:tc>
      </w:tr>
      <w:tr>
        <w:tc>
          <w:tcPr/>
          <w:p>
            <w:pPr>
              <w:pStyle w:val="Compact"/>
            </w:pPr>
            <w:r>
              <w:rPr>
                <w:rStyle w:val="VerbatimChar"/>
              </w:rPr>
              <w:t xml:space="preserve">17_ConsentEnvelope.md</w:t>
            </w:r>
          </w:p>
        </w:tc>
        <w:tc>
          <w:tcPr/>
          <w:p>
            <w:pPr>
              <w:pStyle w:val="Compact"/>
            </w:pPr>
            <w:r>
              <w:t xml:space="preserve">Consent to NIST AC/AR/IP</w:t>
            </w:r>
          </w:p>
        </w:tc>
        <w:tc>
          <w:tcPr/>
          <w:p>
            <w:pPr>
              <w:pStyle w:val="Compact"/>
            </w:pPr>
            <w:r>
              <w:t xml:space="preserve">Information flow, privacy</w:t>
            </w:r>
          </w:p>
        </w:tc>
      </w:tr>
      <w:tr>
        <w:tc>
          <w:tcPr/>
          <w:p>
            <w:pPr>
              <w:pStyle w:val="Compact"/>
            </w:pPr>
            <w:r>
              <w:rPr>
                <w:rStyle w:val="VerbatimChar"/>
              </w:rPr>
              <w:t xml:space="preserve">18_ClaimCatalog.md</w:t>
            </w:r>
          </w:p>
        </w:tc>
        <w:tc>
          <w:tcPr/>
          <w:p>
            <w:pPr>
              <w:pStyle w:val="Compact"/>
            </w:pPr>
            <w:r>
              <w:t xml:space="preserve">Claims to NIST CM/SA/SI</w:t>
            </w:r>
          </w:p>
        </w:tc>
        <w:tc>
          <w:tcPr/>
          <w:p>
            <w:pPr>
              <w:pStyle w:val="Compact"/>
            </w:pPr>
            <w:r>
              <w:t xml:space="preserve">Inventory, acquisition, retention</w:t>
            </w:r>
          </w:p>
        </w:tc>
      </w:tr>
      <w:tr>
        <w:tc>
          <w:tcPr/>
          <w:p>
            <w:pPr>
              <w:pStyle w:val="Compact"/>
            </w:pPr>
            <w:r>
              <w:rPr>
                <w:rStyle w:val="VerbatimChar"/>
              </w:rPr>
              <w:t xml:space="preserve">19_ReconciliationModel.md</w:t>
            </w:r>
          </w:p>
        </w:tc>
        <w:tc>
          <w:tcPr/>
          <w:p>
            <w:pPr>
              <w:pStyle w:val="Compact"/>
            </w:pPr>
            <w:r>
              <w:t xml:space="preserve">Reconciliation to NIST AU/IR/SA/PM</w:t>
            </w:r>
          </w:p>
        </w:tc>
        <w:tc>
          <w:tcPr/>
          <w:p>
            <w:pPr>
              <w:pStyle w:val="Compact"/>
            </w:pPr>
            <w:r>
              <w:t xml:space="preserve">Audit, incident, external services</w:t>
            </w:r>
          </w:p>
        </w:tc>
      </w:tr>
    </w:tbl>
    <w:p>
      <w:r>
        <w:pict>
          <v:rect style="width:0;height:1.5pt" o:hralign="center" o:hrstd="t" o:hr="t"/>
        </w:pict>
      </w:r>
    </w:p>
    <w:bookmarkEnd w:id="39"/>
    <w:bookmarkEnd w:id="40"/>
    <w:bookmarkStart w:id="44" w:name="dependencies-and-sequencing"/>
    <w:p>
      <w:pPr>
        <w:pStyle w:val="Heading2"/>
      </w:pPr>
      <w:r>
        <w:t xml:space="preserve">1.9 9. Dependencies and Sequencing</w:t>
      </w:r>
    </w:p>
    <w:bookmarkStart w:id="41" w:name="upstream-dependencies"/>
    <w:p>
      <w:pPr>
        <w:pStyle w:val="Heading3"/>
      </w:pPr>
      <w:r>
        <w:t xml:space="preserve">1.9.1 Upstream Dependencies</w:t>
      </w:r>
    </w:p>
    <w:p>
      <w:pPr>
        <w:pStyle w:val="Compact"/>
        <w:numPr>
          <w:ilvl w:val="0"/>
          <w:numId w:val="1007"/>
        </w:numPr>
      </w:pPr>
      <w:r>
        <w:t xml:space="preserve">Identity modernization</w:t>
      </w:r>
    </w:p>
    <w:p>
      <w:pPr>
        <w:pStyle w:val="Compact"/>
        <w:numPr>
          <w:ilvl w:val="0"/>
          <w:numId w:val="1007"/>
        </w:numPr>
      </w:pPr>
      <w:r>
        <w:t xml:space="preserve">IPAM modernization</w:t>
      </w:r>
    </w:p>
    <w:p>
      <w:pPr>
        <w:pStyle w:val="Compact"/>
        <w:numPr>
          <w:ilvl w:val="0"/>
          <w:numId w:val="1007"/>
        </w:numPr>
      </w:pPr>
      <w:r>
        <w:t xml:space="preserve">SD-WAN overlay deployment</w:t>
      </w:r>
    </w:p>
    <w:bookmarkEnd w:id="41"/>
    <w:bookmarkStart w:id="42" w:name="downstream-dependencies"/>
    <w:p>
      <w:pPr>
        <w:pStyle w:val="Heading3"/>
      </w:pPr>
      <w:r>
        <w:t xml:space="preserve">1.9.2 Downstream Dependencies</w:t>
      </w:r>
    </w:p>
    <w:p>
      <w:pPr>
        <w:pStyle w:val="Compact"/>
        <w:numPr>
          <w:ilvl w:val="0"/>
          <w:numId w:val="1008"/>
        </w:numPr>
      </w:pPr>
      <w:r>
        <w:t xml:space="preserve">TIC 3.0 packages</w:t>
      </w:r>
    </w:p>
    <w:p>
      <w:pPr>
        <w:pStyle w:val="Compact"/>
        <w:numPr>
          <w:ilvl w:val="0"/>
          <w:numId w:val="1008"/>
        </w:numPr>
      </w:pPr>
      <w:r>
        <w:t xml:space="preserve">FedRAMP 20x evidence generation</w:t>
      </w:r>
    </w:p>
    <w:p>
      <w:pPr>
        <w:pStyle w:val="Compact"/>
        <w:numPr>
          <w:ilvl w:val="0"/>
          <w:numId w:val="1008"/>
        </w:numPr>
      </w:pPr>
      <w:r>
        <w:t xml:space="preserve">Leadership reporting</w:t>
      </w:r>
    </w:p>
    <w:bookmarkEnd w:id="42"/>
    <w:bookmarkStart w:id="43" w:name="timeline-alignment"/>
    <w:p>
      <w:pPr>
        <w:pStyle w:val="Heading3"/>
      </w:pPr>
      <w:r>
        <w:t xml:space="preserve">1.9.3 Timeline Alignment</w:t>
      </w:r>
    </w:p>
    <w:p>
      <w:pPr>
        <w:pStyle w:val="FirstParagraph"/>
      </w:pPr>
      <w:r>
        <w:t xml:space="preserve">The Crosswalk Index supports all phases of the modernization timeline.</w:t>
      </w:r>
    </w:p>
    <w:p>
      <w:r>
        <w:pict>
          <v:rect style="width:0;height:1.5pt" o:hralign="center" o:hrstd="t" o:hr="t"/>
        </w:pict>
      </w:r>
    </w:p>
    <w:bookmarkEnd w:id="43"/>
    <w:bookmarkEnd w:id="44"/>
    <w:bookmarkStart w:id="48" w:name="governance-and-drift-controls"/>
    <w:p>
      <w:pPr>
        <w:pStyle w:val="Heading2"/>
      </w:pPr>
      <w:r>
        <w:t xml:space="preserve">1.10 10. Governance and Drift Controls</w:t>
      </w:r>
    </w:p>
    <w:bookmarkStart w:id="45" w:name="source-of-authority"/>
    <w:p>
      <w:pPr>
        <w:pStyle w:val="Heading3"/>
      </w:pPr>
      <w:r>
        <w:t xml:space="preserve">1.10.1 Source of Authority</w:t>
      </w:r>
    </w:p>
    <w:p>
      <w:pPr>
        <w:pStyle w:val="Compact"/>
        <w:numPr>
          <w:ilvl w:val="0"/>
          <w:numId w:val="1009"/>
        </w:numPr>
      </w:pPr>
      <w:r>
        <w:t xml:space="preserve">HR — identity lifecycle</w:t>
      </w:r>
    </w:p>
    <w:p>
      <w:pPr>
        <w:pStyle w:val="Compact"/>
        <w:numPr>
          <w:ilvl w:val="0"/>
          <w:numId w:val="1009"/>
        </w:numPr>
      </w:pPr>
      <w:r>
        <w:t xml:space="preserve">Network architecture — addressing</w:t>
      </w:r>
    </w:p>
    <w:p>
      <w:pPr>
        <w:pStyle w:val="Compact"/>
        <w:numPr>
          <w:ilvl w:val="0"/>
          <w:numId w:val="1009"/>
        </w:numPr>
      </w:pPr>
      <w:r>
        <w:t xml:space="preserve">PKI — certificate trust</w:t>
      </w:r>
    </w:p>
    <w:p>
      <w:pPr>
        <w:pStyle w:val="Compact"/>
        <w:numPr>
          <w:ilvl w:val="0"/>
          <w:numId w:val="1009"/>
        </w:numPr>
      </w:pPr>
      <w:r>
        <w:t xml:space="preserve">System owners — configuration baselines</w:t>
      </w:r>
    </w:p>
    <w:bookmarkEnd w:id="45"/>
    <w:bookmarkStart w:id="46" w:name="drift-detection"/>
    <w:p>
      <w:pPr>
        <w:pStyle w:val="Heading3"/>
      </w:pPr>
      <w:r>
        <w:t xml:space="preserve">1.10.2 Drift Detection</w:t>
      </w:r>
    </w:p>
    <w:p>
      <w:pPr>
        <w:pStyle w:val="Compact"/>
        <w:numPr>
          <w:ilvl w:val="0"/>
          <w:numId w:val="1010"/>
        </w:numPr>
      </w:pPr>
      <w:r>
        <w:t xml:space="preserve">CMDB reconciliation</w:t>
      </w:r>
    </w:p>
    <w:p>
      <w:pPr>
        <w:pStyle w:val="Compact"/>
        <w:numPr>
          <w:ilvl w:val="0"/>
          <w:numId w:val="1010"/>
        </w:numPr>
      </w:pPr>
      <w:r>
        <w:t xml:space="preserve">Intune compliance</w:t>
      </w:r>
    </w:p>
    <w:p>
      <w:pPr>
        <w:pStyle w:val="Compact"/>
        <w:numPr>
          <w:ilvl w:val="0"/>
          <w:numId w:val="1010"/>
        </w:numPr>
      </w:pPr>
      <w:r>
        <w:t xml:space="preserve">SD-WAN overlay validation</w:t>
      </w:r>
    </w:p>
    <w:p>
      <w:pPr>
        <w:pStyle w:val="Compact"/>
        <w:numPr>
          <w:ilvl w:val="0"/>
          <w:numId w:val="1010"/>
        </w:numPr>
      </w:pPr>
      <w:r>
        <w:t xml:space="preserve">IPAM reconciliation</w:t>
      </w:r>
    </w:p>
    <w:bookmarkEnd w:id="46"/>
    <w:bookmarkStart w:id="47" w:name="remediation-workflow"/>
    <w:p>
      <w:pPr>
        <w:pStyle w:val="Heading3"/>
      </w:pPr>
      <w:r>
        <w:t xml:space="preserve">1.10.3 Remediation Workflow</w:t>
      </w:r>
    </w:p>
    <w:p>
      <w:pPr>
        <w:pStyle w:val="Compact"/>
        <w:numPr>
          <w:ilvl w:val="0"/>
          <w:numId w:val="1011"/>
        </w:numPr>
      </w:pPr>
      <w:r>
        <w:t xml:space="preserve">Automated ServiceNow change</w:t>
      </w:r>
    </w:p>
    <w:p>
      <w:pPr>
        <w:pStyle w:val="Compact"/>
        <w:numPr>
          <w:ilvl w:val="0"/>
          <w:numId w:val="1011"/>
        </w:numPr>
      </w:pPr>
      <w:r>
        <w:t xml:space="preserve">Conditional Access enforcement</w:t>
      </w:r>
    </w:p>
    <w:p>
      <w:pPr>
        <w:pStyle w:val="Compact"/>
        <w:numPr>
          <w:ilvl w:val="0"/>
          <w:numId w:val="1011"/>
        </w:numPr>
      </w:pPr>
      <w:r>
        <w:t xml:space="preserve">Certificate renewal</w:t>
      </w:r>
    </w:p>
    <w:p>
      <w:pPr>
        <w:pStyle w:val="Compact"/>
        <w:numPr>
          <w:ilvl w:val="0"/>
          <w:numId w:val="1011"/>
        </w:numPr>
      </w:pPr>
      <w:r>
        <w:t xml:space="preserve">IPAM correction</w:t>
      </w:r>
    </w:p>
    <w:p>
      <w:r>
        <w:pict>
          <v:rect style="width:0;height:1.5pt" o:hralign="center" o:hrstd="t" o:hr="t"/>
        </w:pict>
      </w:r>
    </w:p>
    <w:bookmarkEnd w:id="47"/>
    <w:bookmarkEnd w:id="48"/>
    <w:bookmarkStart w:id="53" w:name="appendices"/>
    <w:p>
      <w:pPr>
        <w:pStyle w:val="Heading2"/>
      </w:pPr>
      <w:r>
        <w:t xml:space="preserve">1.11 11. Appendices</w:t>
      </w:r>
    </w:p>
    <w:bookmarkStart w:id="49"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docs/glossary.md</w:t>
      </w:r>
    </w:p>
    <w:bookmarkEnd w:id="49"/>
    <w:bookmarkStart w:id="50" w:name="appendix-b-tables"/>
    <w:p>
      <w:pPr>
        <w:pStyle w:val="Heading3"/>
      </w:pPr>
      <w:r>
        <w:t xml:space="preserve">1.11.2 Appendix B: Tables</w:t>
      </w:r>
    </w:p>
    <w:p>
      <w:pPr>
        <w:pStyle w:val="FirstParagraph"/>
      </w:pPr>
      <w:r>
        <w:rPr>
          <w:i/>
          <w:iCs/>
        </w:rPr>
        <w:t xml:space="preserve">Crosswalk master tables are in Section 8. Control Plane Alignment table is in Section 4.</w:t>
      </w:r>
    </w:p>
    <w:bookmarkEnd w:id="50"/>
    <w:bookmarkStart w:id="51" w:name="appendix-c-evidence-sources"/>
    <w:p>
      <w:pPr>
        <w:pStyle w:val="Heading3"/>
      </w:pPr>
      <w:r>
        <w:t xml:space="preserve">1.11.3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1"/>
    <w:bookmarkStart w:id="52" w:name="appendix-d-crosswalk-references"/>
    <w:p>
      <w:pPr>
        <w:pStyle w:val="Heading3"/>
      </w:pPr>
      <w:r>
        <w:t xml:space="preserve">1.11.4 Appendix D: Crosswalk References</w:t>
      </w:r>
    </w:p>
    <w:p>
      <w:pPr>
        <w:pStyle w:val="FirstParagraph"/>
      </w:pPr>
      <w:r>
        <w:rPr>
          <w:i/>
          <w:iCs/>
        </w:rPr>
        <w:t xml:space="preserve">See</w:t>
      </w:r>
      <w:r>
        <w:rPr>
          <w:i/>
          <w:iCs/>
        </w:rPr>
        <w:t xml:space="preserve"> </w:t>
      </w:r>
      <w:r>
        <w:rPr>
          <w:rStyle w:val="VerbatimChar"/>
          <w:i/>
          <w:iCs/>
        </w:rPr>
        <w:t xml:space="preserve">data/crosswalk-index.yml</w:t>
      </w:r>
      <w:r>
        <w:rPr>
          <w:i/>
          <w:iCs/>
        </w:rPr>
        <w:t xml:space="preserve"> </w:t>
      </w:r>
      <w:r>
        <w:rPr>
          <w:i/>
          <w:iCs/>
        </w:rPr>
        <w:t xml:space="preserve">for machine-readable crosswalk data.</w:t>
      </w:r>
    </w:p>
    <w:p>
      <w:r>
        <w:pict>
          <v:rect style="width:0;height:1.5pt" o:hralign="center" o:hrstd="t" o:hr="t"/>
        </w:pict>
      </w:r>
    </w:p>
    <w:bookmarkEnd w:id="52"/>
    <w:bookmarkEnd w:id="53"/>
    <w:bookmarkStart w:id="54" w:name="revision-history"/>
    <w:p>
      <w:pPr>
        <w:pStyle w:val="Heading2"/>
      </w:pPr>
      <w:r>
        <w:t xml:space="preserve">1.12 12.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r>
        <w:tc>
          <w:tcPr/>
          <w:p>
            <w:pPr>
              <w:pStyle w:val="Compact"/>
            </w:pPr>
            <w:r>
              <w:t xml:space="preserve">1.1</w:t>
            </w:r>
          </w:p>
        </w:tc>
        <w:tc>
          <w:tcPr/>
          <w:p>
            <w:pPr>
              <w:pStyle w:val="Compact"/>
            </w:pPr>
            <w:r>
              <w:t xml:space="preserve">2026-04</w:t>
            </w:r>
          </w:p>
        </w:tc>
        <w:tc>
          <w:tcPr/>
          <w:p>
            <w:pPr>
              <w:pStyle w:val="Compact"/>
            </w:pPr>
            <w:r>
              <w:t xml:space="preserve">UIAO Canon Engine</w:t>
            </w:r>
          </w:p>
        </w:tc>
        <w:tc>
          <w:tcPr/>
          <w:p>
            <w:pPr>
              <w:pStyle w:val="Compact"/>
            </w:pPr>
            <w:r>
              <w:t xml:space="preserve">Register Phase 5 docs 15–19; add Section 8.6</w:t>
            </w:r>
          </w:p>
        </w:tc>
      </w:tr>
    </w:tbl>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 Crosswalkindex</dc:title>
  <dc:creator>UIAO Modernization Program</dc:creator>
  <dc:language>en</dc:language>
  <cp:keywords/>
  <dcterms:created xsi:type="dcterms:W3CDTF">2026-04-03T14:31:32Z</dcterms:created>
  <dcterms:modified xsi:type="dcterms:W3CDTF">2026-04-03T14:31:32Z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