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10 Directorystructure</w:t>
      </w:r>
    </w:p>
    <w:p>
      <w:pPr>
        <w:pStyle w:val="Author"/>
      </w:pPr>
      <w:r>
        <w:t xml:space="preserve">UIAO Modernization Program</w:t>
      </w:r>
    </w:p>
    <w:p>
      <w:pPr>
        <w:pStyle w:val="Date"/>
      </w:pPr>
      <w:r>
        <w:t xml:space="preserve">April 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uiao-canonical-directory-structure"/>
    <w:p>
      <w:pPr>
        <w:pStyle w:val="Heading1"/>
      </w:pPr>
      <w:r>
        <w:t xml:space="preserve">1. UIAO Canonical Directory Structure</w:t>
      </w:r>
    </w:p>
    <w:bookmarkStart w:id="20" w:name="title-page"/>
    <w:p>
      <w:pPr>
        <w:pStyle w:val="Heading2"/>
      </w:pPr>
      <w:r>
        <w:t xml:space="preserve">1.1 1. Title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March 2026</w:t>
            </w:r>
          </w:p>
        </w:tc>
      </w:tr>
      <w:tr>
        <w:tc>
          <w:tcPr/>
          <w:p>
            <w:pPr>
              <w:pStyle w:val="Compact"/>
            </w:pPr>
            <w:r>
              <w:rPr>
                <w:b/>
                <w:bCs/>
              </w:rPr>
              <w:t xml:space="preserve">Classification</w:t>
            </w:r>
          </w:p>
        </w:tc>
        <w:tc>
          <w:tcPr/>
          <w:p>
            <w:pPr>
              <w:pStyle w:val="Compact"/>
            </w:pPr>
            <w:r>
              <w:t xml:space="preserve">CUI/FOUO</w:t>
            </w:r>
          </w:p>
        </w:tc>
      </w:tr>
      <w:tr>
        <w:tc>
          <w:tcPr/>
          <w:p>
            <w:pPr>
              <w:pStyle w:val="Compact"/>
            </w:pPr>
            <w:r>
              <w:rPr>
                <w:b/>
                <w:bCs/>
              </w:rPr>
              <w:t xml:space="preserve">Source Planes</w:t>
            </w:r>
          </w:p>
        </w:tc>
        <w:tc>
          <w:tcPr/>
          <w:p>
            <w:pPr>
              <w:pStyle w:val="Compact"/>
            </w:pPr>
            <w:r>
              <w:t xml:space="preserve">Identity, Network, Addressing, Telemetry, Security, Management</w:t>
            </w:r>
          </w:p>
        </w:tc>
      </w:tr>
      <w:tr>
        <w:tc>
          <w:tcPr/>
          <w:p>
            <w:pPr>
              <w:pStyle w:val="Compact"/>
            </w:pPr>
            <w:r>
              <w:rPr>
                <w:b/>
                <w:bCs/>
              </w:rPr>
              <w:t xml:space="preserve">Document Type</w:t>
            </w:r>
          </w:p>
        </w:tc>
        <w:tc>
          <w:tcPr/>
          <w:p>
            <w:pPr>
              <w:pStyle w:val="Compact"/>
            </w:pPr>
            <w:r>
              <w:t xml:space="preserve">Repository Structure (02_Appendices)</w:t>
            </w:r>
          </w:p>
        </w:tc>
      </w:tr>
    </w:tbl>
    <w:p>
      <w:r>
        <w:pict>
          <v:rect style="width:0;height:1.5pt" o:hralign="center" o:hrstd="t" o:hr="t"/>
        </w:pict>
      </w:r>
    </w:p>
    <w:bookmarkEnd w:id="20"/>
    <w:bookmarkStart w:id="21" w:name="purpose"/>
    <w:p>
      <w:pPr>
        <w:pStyle w:val="Heading2"/>
      </w:pPr>
      <w:r>
        <w:t xml:space="preserve">1.2 2. Purpose</w:t>
      </w:r>
    </w:p>
    <w:p>
      <w:pPr>
        <w:pStyle w:val="FirstParagraph"/>
      </w:pPr>
      <w:r>
        <w:t xml:space="preserve">This document defines the authoritative directory structure for the Unified Identity-Addressing-Overlay (UIAO) repository. It establishes the canonical layout, naming conventions, numbering rules, and document placement required to maintain a deterministic, drift-resistant, self-navigating modernization canon.</w:t>
      </w:r>
    </w:p>
    <w:p>
      <w:r>
        <w:pict>
          <v:rect style="width:0;height:1.5pt" o:hralign="center" o:hrstd="t" o:hr="t"/>
        </w:pict>
      </w:r>
    </w:p>
    <w:bookmarkEnd w:id="21"/>
    <w:bookmarkStart w:id="24" w:name="scope"/>
    <w:p>
      <w:pPr>
        <w:pStyle w:val="Heading2"/>
      </w:pPr>
      <w:r>
        <w:t xml:space="preserve">1.3 3. Scope</w:t>
      </w:r>
    </w:p>
    <w:bookmarkStart w:id="22" w:name="included"/>
    <w:p>
      <w:pPr>
        <w:pStyle w:val="Heading3"/>
      </w:pPr>
      <w:r>
        <w:t xml:space="preserve">1.3.1 Included</w:t>
      </w:r>
    </w:p>
    <w:p>
      <w:pPr>
        <w:pStyle w:val="Compact"/>
        <w:numPr>
          <w:ilvl w:val="0"/>
          <w:numId w:val="1001"/>
        </w:numPr>
      </w:pPr>
      <w:r>
        <w:t xml:space="preserve">Canonical folder structure</w:t>
      </w:r>
    </w:p>
    <w:p>
      <w:pPr>
        <w:pStyle w:val="Compact"/>
        <w:numPr>
          <w:ilvl w:val="0"/>
          <w:numId w:val="1001"/>
        </w:numPr>
      </w:pPr>
      <w:r>
        <w:t xml:space="preserve">Naming conventions</w:t>
      </w:r>
    </w:p>
    <w:p>
      <w:pPr>
        <w:pStyle w:val="Compact"/>
        <w:numPr>
          <w:ilvl w:val="0"/>
          <w:numId w:val="1001"/>
        </w:numPr>
      </w:pPr>
      <w:r>
        <w:t xml:space="preserve">Numbering rules</w:t>
      </w:r>
    </w:p>
    <w:p>
      <w:pPr>
        <w:pStyle w:val="Compact"/>
        <w:numPr>
          <w:ilvl w:val="0"/>
          <w:numId w:val="1001"/>
        </w:numPr>
      </w:pPr>
      <w:r>
        <w:t xml:space="preserve">Document placement rules</w:t>
      </w:r>
    </w:p>
    <w:p>
      <w:pPr>
        <w:pStyle w:val="Compact"/>
        <w:numPr>
          <w:ilvl w:val="0"/>
          <w:numId w:val="1001"/>
        </w:numPr>
      </w:pPr>
      <w:r>
        <w:t xml:space="preserve">Cross-reference expectations</w:t>
      </w:r>
    </w:p>
    <w:p>
      <w:pPr>
        <w:pStyle w:val="Compact"/>
        <w:numPr>
          <w:ilvl w:val="0"/>
          <w:numId w:val="1001"/>
        </w:numPr>
      </w:pPr>
      <w:r>
        <w:t xml:space="preserve">Governance and drift-control requirements</w:t>
      </w:r>
    </w:p>
    <w:bookmarkEnd w:id="22"/>
    <w:bookmarkStart w:id="23" w:name="excluded"/>
    <w:p>
      <w:pPr>
        <w:pStyle w:val="Heading3"/>
      </w:pPr>
      <w:r>
        <w:t xml:space="preserve">1.3.2 Excluded</w:t>
      </w:r>
    </w:p>
    <w:p>
      <w:pPr>
        <w:pStyle w:val="Compact"/>
        <w:numPr>
          <w:ilvl w:val="0"/>
          <w:numId w:val="1002"/>
        </w:numPr>
      </w:pPr>
      <w:r>
        <w:t xml:space="preserve">GitHub Actions workflows</w:t>
      </w:r>
    </w:p>
    <w:p>
      <w:pPr>
        <w:pStyle w:val="Compact"/>
        <w:numPr>
          <w:ilvl w:val="0"/>
          <w:numId w:val="1002"/>
        </w:numPr>
      </w:pPr>
      <w:r>
        <w:t xml:space="preserve">Build pipelines</w:t>
      </w:r>
    </w:p>
    <w:p>
      <w:pPr>
        <w:pStyle w:val="Compact"/>
        <w:numPr>
          <w:ilvl w:val="0"/>
          <w:numId w:val="1002"/>
        </w:numPr>
      </w:pPr>
      <w:r>
        <w:t xml:space="preserve">Export automation</w:t>
      </w:r>
    </w:p>
    <w:p>
      <w:r>
        <w:pict>
          <v:rect style="width:0;height:1.5pt" o:hralign="center" o:hrstd="t" o:hr="t"/>
        </w:pict>
      </w:r>
    </w:p>
    <w:bookmarkEnd w:id="23"/>
    <w:bookmarkEnd w:id="24"/>
    <w:bookmarkStart w:id="25" w:name="control-plane-alignment"/>
    <w:p>
      <w:pPr>
        <w:pStyle w:val="Heading2"/>
      </w:pPr>
      <w:r>
        <w:t xml:space="preserve">1.4 4. Control Plane Alignment</w:t>
      </w:r>
    </w:p>
    <w:p>
      <w:pPr>
        <w:pStyle w:val="FirstParagraph"/>
      </w:pPr>
      <w:r>
        <w:t xml:space="preserve">The directory structure supports all six UIAO control planes: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Plane</w:t>
            </w:r>
          </w:p>
        </w:tc>
        <w:tc>
          <w:tcPr/>
          <w:p>
            <w:pPr>
              <w:pStyle w:val="Compact"/>
            </w:pPr>
            <w:r>
              <w:t xml:space="preserve">Directory Role</w:t>
            </w:r>
          </w:p>
        </w:tc>
      </w:tr>
      <w:tr>
        <w:tc>
          <w:tcPr/>
          <w:p>
            <w:pPr>
              <w:pStyle w:val="Compact"/>
            </w:pPr>
            <w:r>
              <w:t xml:space="preserve">Identity</w:t>
            </w:r>
          </w:p>
        </w:tc>
        <w:tc>
          <w:tcPr/>
          <w:p>
            <w:pPr>
              <w:pStyle w:val="Compact"/>
            </w:pPr>
            <w:r>
              <w:t xml:space="preserve">Root namespace for identity-aligned documents</w:t>
            </w:r>
          </w:p>
        </w:tc>
      </w:tr>
      <w:tr>
        <w:tc>
          <w:tcPr/>
          <w:p>
            <w:pPr>
              <w:pStyle w:val="Compact"/>
            </w:pPr>
            <w:r>
              <w:t xml:space="preserve">Network</w:t>
            </w:r>
          </w:p>
        </w:tc>
        <w:tc>
          <w:tcPr/>
          <w:p>
            <w:pPr>
              <w:pStyle w:val="Compact"/>
            </w:pPr>
            <w:r>
              <w:t xml:space="preserve">SD-WAN, segmentation, routing artifacts</w:t>
            </w:r>
          </w:p>
        </w:tc>
      </w:tr>
      <w:tr>
        <w:tc>
          <w:tcPr/>
          <w:p>
            <w:pPr>
              <w:pStyle w:val="Compact"/>
            </w:pPr>
            <w:r>
              <w:t xml:space="preserve">Addressing</w:t>
            </w:r>
          </w:p>
        </w:tc>
        <w:tc>
          <w:tcPr/>
          <w:p>
            <w:pPr>
              <w:pStyle w:val="Compact"/>
            </w:pPr>
            <w:r>
              <w:t xml:space="preserve">IPAM, DNS/DHCP, deterministic addressing</w:t>
            </w:r>
          </w:p>
        </w:tc>
      </w:tr>
      <w:tr>
        <w:tc>
          <w:tcPr/>
          <w:p>
            <w:pPr>
              <w:pStyle w:val="Compact"/>
            </w:pPr>
            <w:r>
              <w:t xml:space="preserve">Telemetry and Location</w:t>
            </w:r>
          </w:p>
        </w:tc>
        <w:tc>
          <w:tcPr/>
          <w:p>
            <w:pPr>
              <w:pStyle w:val="Compact"/>
            </w:pPr>
            <w:r>
              <w:t xml:space="preserve">Telemetry, INR, E911, SIEM</w:t>
            </w:r>
          </w:p>
        </w:tc>
      </w:tr>
      <w:tr>
        <w:tc>
          <w:tcPr/>
          <w:p>
            <w:pPr>
              <w:pStyle w:val="Compact"/>
            </w:pPr>
            <w:r>
              <w:t xml:space="preserve">Security and Compliance</w:t>
            </w:r>
          </w:p>
        </w:tc>
        <w:tc>
          <w:tcPr/>
          <w:p>
            <w:pPr>
              <w:pStyle w:val="Compact"/>
            </w:pPr>
            <w:r>
              <w:t xml:space="preserve">FedRAMP, TIC 3.0, SCuBA</w:t>
            </w:r>
          </w:p>
        </w:tc>
      </w:tr>
      <w:tr>
        <w:tc>
          <w:tcPr/>
          <w:p>
            <w:pPr>
              <w:pStyle w:val="Compact"/>
            </w:pPr>
            <w:r>
              <w:t xml:space="preserve">Management</w:t>
            </w:r>
          </w:p>
        </w:tc>
        <w:tc>
          <w:tcPr/>
          <w:p>
            <w:pPr>
              <w:pStyle w:val="Compact"/>
            </w:pPr>
            <w:r>
              <w:t xml:space="preserve">CMDB, Intune, drift detection</w:t>
            </w:r>
          </w:p>
        </w:tc>
      </w:tr>
    </w:tbl>
    <w:p>
      <w:pPr>
        <w:pStyle w:val="BodyText"/>
      </w:pPr>
      <w:r>
        <w:t xml:space="preserve">Each plane has a predictable location in the repository.</w:t>
      </w:r>
    </w:p>
    <w:p>
      <w:r>
        <w:pict>
          <v:rect style="width:0;height:1.5pt" o:hralign="center" o:hrstd="t" o:hr="t"/>
        </w:pict>
      </w:r>
    </w:p>
    <w:bookmarkEnd w:id="25"/>
    <w:bookmarkStart w:id="26" w:name="core-concepts"/>
    <w:p>
      <w:pPr>
        <w:pStyle w:val="Heading2"/>
      </w:pPr>
      <w:r>
        <w:t xml:space="preserve">1.5 5. Core Concepts</w:t>
      </w:r>
    </w:p>
    <w:p>
      <w:pPr>
        <w:pStyle w:val="FirstParagraph"/>
      </w:pPr>
      <w:r>
        <w:t xml:space="preserve">The directory structure operationalizes the Eight Core Concepts:</w:t>
      </w:r>
    </w:p>
    <w:p>
      <w:pPr>
        <w:pStyle w:val="Compact"/>
        <w:numPr>
          <w:ilvl w:val="0"/>
          <w:numId w:val="1003"/>
        </w:numPr>
      </w:pPr>
      <w:r>
        <w:rPr>
          <w:b/>
          <w:bCs/>
        </w:rPr>
        <w:t xml:space="preserve">Single Source of Truth (SSOT)</w:t>
      </w:r>
      <w:r>
        <w:t xml:space="preserve"> </w:t>
      </w:r>
      <w:r>
        <w:t xml:space="preserve">— UIAO operates on the principle that every claim has one authoritative origin. All other representations are pointers, not copies. This ensures provenance, prevents drift, and enables federated truth resolution across boundaries.</w:t>
      </w:r>
    </w:p>
    <w:p>
      <w:pPr>
        <w:pStyle w:val="Compact"/>
        <w:numPr>
          <w:ilvl w:val="0"/>
          <w:numId w:val="1003"/>
        </w:numPr>
      </w:pPr>
      <w:r>
        <w:rPr>
          <w:b/>
          <w:bCs/>
        </w:rPr>
        <w:t xml:space="preserve">Conversation as the atomic unit</w:t>
      </w:r>
      <w:r>
        <w:t xml:space="preserve"> </w:t>
      </w:r>
      <w:r>
        <w:t xml:space="preserve">— Document relationships reflect runtime flow</w:t>
      </w:r>
    </w:p>
    <w:p>
      <w:pPr>
        <w:pStyle w:val="Compact"/>
        <w:numPr>
          <w:ilvl w:val="0"/>
          <w:numId w:val="1003"/>
        </w:numPr>
      </w:pPr>
      <w:r>
        <w:rPr>
          <w:b/>
          <w:bCs/>
        </w:rPr>
        <w:t xml:space="preserve">Identity as the root namespace</w:t>
      </w:r>
      <w:r>
        <w:t xml:space="preserve"> </w:t>
      </w:r>
      <w:r>
        <w:t xml:space="preserve">— Identity documents appear first</w:t>
      </w:r>
    </w:p>
    <w:p>
      <w:pPr>
        <w:pStyle w:val="Compact"/>
        <w:numPr>
          <w:ilvl w:val="0"/>
          <w:numId w:val="1003"/>
        </w:numPr>
      </w:pPr>
      <w:r>
        <w:rPr>
          <w:b/>
          <w:bCs/>
        </w:rPr>
        <w:t xml:space="preserve">Deterministic addressing</w:t>
      </w:r>
      <w:r>
        <w:t xml:space="preserve"> </w:t>
      </w:r>
      <w:r>
        <w:t xml:space="preserve">— Numbering is deterministic and stable</w:t>
      </w:r>
    </w:p>
    <w:p>
      <w:pPr>
        <w:pStyle w:val="Compact"/>
        <w:numPr>
          <w:ilvl w:val="0"/>
          <w:numId w:val="1003"/>
        </w:numPr>
      </w:pPr>
      <w:r>
        <w:rPr>
          <w:b/>
          <w:bCs/>
        </w:rPr>
        <w:t xml:space="preserve">Certificate-anchored overlay</w:t>
      </w:r>
      <w:r>
        <w:t xml:space="preserve"> </w:t>
      </w:r>
      <w:r>
        <w:t xml:space="preserve">— Security documents grouped consistently</w:t>
      </w:r>
    </w:p>
    <w:p>
      <w:pPr>
        <w:pStyle w:val="Compact"/>
        <w:numPr>
          <w:ilvl w:val="0"/>
          <w:numId w:val="1003"/>
        </w:numPr>
      </w:pPr>
      <w:r>
        <w:rPr>
          <w:b/>
          <w:bCs/>
        </w:rPr>
        <w:t xml:space="preserve">Telemetry as control</w:t>
      </w:r>
      <w:r>
        <w:t xml:space="preserve"> </w:t>
      </w:r>
      <w:r>
        <w:t xml:space="preserve">— Telemetry documents grouped under compliance</w:t>
      </w:r>
    </w:p>
    <w:p>
      <w:pPr>
        <w:pStyle w:val="Compact"/>
        <w:numPr>
          <w:ilvl w:val="0"/>
          <w:numId w:val="1003"/>
        </w:numPr>
      </w:pPr>
      <w:r>
        <w:rPr>
          <w:b/>
          <w:bCs/>
        </w:rPr>
        <w:t xml:space="preserve">Embedded governance and automation</w:t>
      </w:r>
      <w:r>
        <w:t xml:space="preserve"> </w:t>
      </w:r>
      <w:r>
        <w:t xml:space="preserve">— Structure supports automation</w:t>
      </w:r>
    </w:p>
    <w:p>
      <w:pPr>
        <w:pStyle w:val="Compact"/>
        <w:numPr>
          <w:ilvl w:val="0"/>
          <w:numId w:val="1003"/>
        </w:numPr>
      </w:pPr>
      <w:r>
        <w:rPr>
          <w:b/>
          <w:bCs/>
        </w:rPr>
        <w:t xml:space="preserve">Public service first</w:t>
      </w:r>
      <w:r>
        <w:t xml:space="preserve"> </w:t>
      </w:r>
      <w:r>
        <w:t xml:space="preserve">— Clear, accessible, predictable layout</w:t>
      </w:r>
    </w:p>
    <w:p>
      <w:r>
        <w:pict>
          <v:rect style="width:0;height:1.5pt" o:hralign="center" o:hrstd="t" o:hr="t"/>
        </w:pict>
      </w:r>
    </w:p>
    <w:bookmarkEnd w:id="26"/>
    <w:bookmarkStart w:id="29" w:name="architecture-model"/>
    <w:p>
      <w:pPr>
        <w:pStyle w:val="Heading2"/>
      </w:pPr>
      <w:r>
        <w:t xml:space="preserve">1.6 6. Architecture Model</w:t>
      </w:r>
    </w:p>
    <w:bookmarkStart w:id="27" w:name="canonical-directory-layout"/>
    <w:p>
      <w:pPr>
        <w:pStyle w:val="Heading3"/>
      </w:pPr>
      <w:r>
        <w:t xml:space="preserve">1.6.1 6.1 Canonical Directory Layout</w:t>
      </w:r>
    </w:p>
    <w:p>
      <w:pPr>
        <w:pStyle w:val="FirstParagraph"/>
      </w:pPr>
      <w:r>
        <w:t xml:space="preserve">The UIAO repository uses a 12-document canon organized into four phases:</w:t>
      </w:r>
    </w:p>
    <w:p>
      <w:pPr>
        <w:pStyle w:val="SourceCode"/>
      </w:pPr>
      <w:r>
        <w:rPr>
          <w:rStyle w:val="VerbatimChar"/>
        </w:rPr>
        <w:t xml:space="preserve">/docs</w:t>
      </w:r>
      <w:r>
        <w:br/>
      </w:r>
      <w:r>
        <w:rPr>
          <w:rStyle w:val="VerbatimChar"/>
        </w:rPr>
        <w:t xml:space="preserve">   00_ControlPlaneArchitecture.md</w:t>
      </w:r>
      <w:r>
        <w:br/>
      </w:r>
      <w:r>
        <w:rPr>
          <w:rStyle w:val="VerbatimChar"/>
        </w:rPr>
        <w:t xml:space="preserve">   01_UnifiedArchitecture.md</w:t>
      </w:r>
      <w:r>
        <w:br/>
      </w:r>
      <w:r>
        <w:rPr>
          <w:rStyle w:val="VerbatimChar"/>
        </w:rPr>
        <w:t xml:space="preserve">   02_CanonSpecification.md</w:t>
      </w:r>
      <w:r>
        <w:br/>
      </w:r>
      <w:r>
        <w:br/>
      </w:r>
      <w:r>
        <w:rPr>
          <w:rStyle w:val="VerbatimChar"/>
        </w:rPr>
        <w:t xml:space="preserve">   03_FedRAMP20x_Crosswalk.md</w:t>
      </w:r>
      <w:r>
        <w:br/>
      </w:r>
      <w:r>
        <w:rPr>
          <w:rStyle w:val="VerbatimChar"/>
        </w:rPr>
        <w:t xml:space="preserve">   04_FedRAMP20x_Phase2_Summary.md</w:t>
      </w:r>
      <w:r>
        <w:br/>
      </w:r>
      <w:r>
        <w:rPr>
          <w:rStyle w:val="VerbatimChar"/>
        </w:rPr>
        <w:t xml:space="preserve">   05_ManagementStack.md</w:t>
      </w:r>
      <w:r>
        <w:br/>
      </w:r>
      <w:r>
        <w:br/>
      </w:r>
      <w:r>
        <w:rPr>
          <w:rStyle w:val="VerbatimChar"/>
        </w:rPr>
        <w:t xml:space="preserve">   06_ProgramVision.md</w:t>
      </w:r>
      <w:r>
        <w:br/>
      </w:r>
      <w:r>
        <w:rPr>
          <w:rStyle w:val="VerbatimChar"/>
        </w:rPr>
        <w:t xml:space="preserve">   07_LeadershipBriefing.md</w:t>
      </w:r>
      <w:r>
        <w:br/>
      </w:r>
      <w:r>
        <w:rPr>
          <w:rStyle w:val="VerbatimChar"/>
        </w:rPr>
        <w:t xml:space="preserve">   08_ModernizationTimeline.md</w:t>
      </w:r>
      <w:r>
        <w:br/>
      </w:r>
      <w:r>
        <w:br/>
      </w:r>
      <w:r>
        <w:rPr>
          <w:rStyle w:val="VerbatimChar"/>
        </w:rPr>
        <w:t xml:space="preserve">   09_CrosswalkIndex.md</w:t>
      </w:r>
      <w:r>
        <w:br/>
      </w:r>
      <w:r>
        <w:rPr>
          <w:rStyle w:val="VerbatimChar"/>
        </w:rPr>
        <w:t xml:space="preserve">   10_DirectoryStructure.md</w:t>
      </w:r>
      <w:r>
        <w:br/>
      </w:r>
      <w:r>
        <w:rPr>
          <w:rStyle w:val="VerbatimChar"/>
        </w:rPr>
        <w:t xml:space="preserve">   11_GlossaryAndDefinitions.md</w:t>
      </w:r>
      <w:r>
        <w:br/>
      </w:r>
      <w:r>
        <w:br/>
      </w:r>
      <w:r>
        <w:rPr>
          <w:rStyle w:val="VerbatimChar"/>
        </w:rPr>
        <w:t xml:space="preserve">/adapters</w:t>
      </w:r>
      <w:r>
        <w:br/>
      </w:r>
      <w:r>
        <w:rPr>
          <w:rStyle w:val="VerbatimChar"/>
        </w:rPr>
        <w:t xml:space="preserve">    __init__.py              # Adapter registry</w:t>
      </w:r>
      <w:r>
        <w:br/>
      </w:r>
      <w:r>
        <w:rPr>
          <w:rStyle w:val="VerbatimChar"/>
        </w:rPr>
        <w:t xml:space="preserve">    base_adapter.py          # Abstract base class (adapter contract)</w:t>
      </w:r>
      <w:r>
        <w:br/>
      </w:r>
      <w:r>
        <w:br/>
      </w:r>
      <w:r>
        <w:rPr>
          <w:rStyle w:val="VerbatimChar"/>
        </w:rPr>
        <w:t xml:space="preserve">/docs/adapters</w:t>
      </w:r>
      <w:r>
        <w:br/>
      </w:r>
      <w:r>
        <w:rPr>
          <w:rStyle w:val="VerbatimChar"/>
        </w:rPr>
        <w:t xml:space="preserve">    canonical-definition-of-a-uiao-adapter.md</w:t>
      </w:r>
      <w:r>
        <w:br/>
      </w:r>
      <w:r>
        <w:rPr>
          <w:rStyle w:val="VerbatimChar"/>
        </w:rPr>
        <w:t xml:space="preserve">    adapter-responsibilities-diagram-set.md</w:t>
      </w:r>
      <w:r>
        <w:br/>
      </w:r>
      <w:r>
        <w:rPr>
          <w:rStyle w:val="VerbatimChar"/>
        </w:rPr>
        <w:t xml:space="preserve">    adapter-contract.md</w:t>
      </w:r>
    </w:p>
    <w:p>
      <w:pPr>
        <w:pStyle w:val="FirstParagraph"/>
      </w:pPr>
      <w:r>
        <w:t xml:space="preserve">This structure is deterministic and must not be altered.</w:t>
      </w:r>
    </w:p>
    <w:bookmarkEnd w:id="27"/>
    <w:bookmarkStart w:id="28" w:name="numbering-rules"/>
    <w:p>
      <w:pPr>
        <w:pStyle w:val="Heading3"/>
      </w:pPr>
      <w:r>
        <w:t xml:space="preserve">1.6.2 6.2 Numbering Rules</w:t>
      </w:r>
    </w:p>
    <w:p>
      <w:pPr>
        <w:pStyle w:val="FirstParagraph"/>
      </w:pPr>
      <w:r>
        <w:rPr>
          <w:b/>
          <w:bCs/>
        </w:rPr>
        <w:t xml:space="preserve">Rule 1 — Two-Digit Prefix</w:t>
      </w:r>
    </w:p>
    <w:p>
      <w:pPr>
        <w:pStyle w:val="BodyText"/>
      </w:pPr>
      <w:r>
        <w:t xml:space="preserve">Every document begins with a two-digit prefix:</w:t>
      </w:r>
    </w:p>
    <w:p>
      <w:pPr>
        <w:pStyle w:val="Compact"/>
        <w:numPr>
          <w:ilvl w:val="0"/>
          <w:numId w:val="1004"/>
        </w:numPr>
      </w:pPr>
      <w:r>
        <w:t xml:space="preserve">00-02: Foundational Architecture</w:t>
      </w:r>
    </w:p>
    <w:p>
      <w:pPr>
        <w:pStyle w:val="Compact"/>
        <w:numPr>
          <w:ilvl w:val="0"/>
          <w:numId w:val="1004"/>
        </w:numPr>
      </w:pPr>
      <w:r>
        <w:t xml:space="preserve">03-05: Compliance and Governance</w:t>
      </w:r>
    </w:p>
    <w:p>
      <w:pPr>
        <w:pStyle w:val="Compact"/>
        <w:numPr>
          <w:ilvl w:val="0"/>
          <w:numId w:val="1004"/>
        </w:numPr>
      </w:pPr>
      <w:r>
        <w:t xml:space="preserve">06-08: Program and Leadership</w:t>
      </w:r>
    </w:p>
    <w:p>
      <w:pPr>
        <w:pStyle w:val="Compact"/>
        <w:numPr>
          <w:ilvl w:val="0"/>
          <w:numId w:val="1004"/>
        </w:numPr>
      </w:pPr>
      <w:r>
        <w:t xml:space="preserve">09-11: Index and Metadata</w:t>
      </w:r>
    </w:p>
    <w:p>
      <w:pPr>
        <w:pStyle w:val="FirstParagraph"/>
      </w:pPr>
      <w:r>
        <w:rPr>
          <w:b/>
          <w:bCs/>
        </w:rPr>
        <w:t xml:space="preserve">Rule 2 — No Gaps</w:t>
      </w:r>
    </w:p>
    <w:p>
      <w:pPr>
        <w:pStyle w:val="BodyText"/>
      </w:pPr>
      <w:r>
        <w:t xml:space="preserve">Numbers must remain contiguous. If a document is removed, its number is retired permanently.</w:t>
      </w:r>
    </w:p>
    <w:p>
      <w:pPr>
        <w:pStyle w:val="BodyText"/>
      </w:pPr>
      <w:r>
        <w:rPr>
          <w:b/>
          <w:bCs/>
        </w:rPr>
        <w:t xml:space="preserve">Rule 3 — No Renumbering</w:t>
      </w:r>
    </w:p>
    <w:p>
      <w:pPr>
        <w:pStyle w:val="BodyText"/>
      </w:pPr>
      <w:r>
        <w:t xml:space="preserve">Once assigned, a number is immutable.</w:t>
      </w:r>
    </w:p>
    <w:p>
      <w:pPr>
        <w:pStyle w:val="BodyText"/>
      </w:pPr>
      <w:r>
        <w:rPr>
          <w:b/>
          <w:bCs/>
        </w:rPr>
        <w:t xml:space="preserve">Rule 4 — Appendices Use Suffixes</w:t>
      </w:r>
    </w:p>
    <w:p>
      <w:pPr>
        <w:pStyle w:val="BodyText"/>
      </w:pPr>
      <w:r>
        <w:t xml:space="preserve">Appendices follow the pattern:</w:t>
      </w:r>
    </w:p>
    <w:p>
      <w:pPr>
        <w:pStyle w:val="Compact"/>
        <w:numPr>
          <w:ilvl w:val="0"/>
          <w:numId w:val="1005"/>
        </w:numPr>
      </w:pPr>
      <w:r>
        <w:rPr>
          <w:rStyle w:val="VerbatimChar"/>
        </w:rPr>
        <w:t xml:space="preserve">A_*.md</w:t>
      </w:r>
    </w:p>
    <w:p>
      <w:pPr>
        <w:pStyle w:val="Compact"/>
        <w:numPr>
          <w:ilvl w:val="0"/>
          <w:numId w:val="1005"/>
        </w:numPr>
      </w:pPr>
      <w:r>
        <w:rPr>
          <w:rStyle w:val="VerbatimChar"/>
        </w:rPr>
        <w:t xml:space="preserve">B_*.md</w:t>
      </w:r>
    </w:p>
    <w:p>
      <w:pPr>
        <w:pStyle w:val="Compact"/>
        <w:numPr>
          <w:ilvl w:val="0"/>
          <w:numId w:val="1005"/>
        </w:numPr>
      </w:pPr>
      <w:r>
        <w:rPr>
          <w:rStyle w:val="VerbatimChar"/>
        </w:rPr>
        <w:t xml:space="preserve">C_*.md</w:t>
      </w:r>
    </w:p>
    <w:p>
      <w:pPr>
        <w:pStyle w:val="FirstParagraph"/>
      </w:pPr>
      <w:r>
        <w:rPr>
          <w:b/>
          <w:bCs/>
        </w:rPr>
        <w:t xml:space="preserve">Rule 5 — No Nested Directories for Canon Documents</w:t>
      </w:r>
    </w:p>
    <w:p>
      <w:pPr>
        <w:pStyle w:val="BodyText"/>
      </w:pPr>
      <w:r>
        <w:t xml:space="preserve">All 12 canonical documents live directly under</w:t>
      </w:r>
      <w:r>
        <w:t xml:space="preserve"> </w:t>
      </w:r>
      <w:r>
        <w:rPr>
          <w:rStyle w:val="VerbatimChar"/>
        </w:rPr>
        <w:t xml:space="preserve">/docs</w:t>
      </w:r>
      <w:r>
        <w:t xml:space="preserve">.</w:t>
      </w:r>
    </w:p>
    <w:p>
      <w:r>
        <w:pict>
          <v:rect style="width:0;height:1.5pt" o:hralign="center" o:hrstd="t" o:hr="t"/>
        </w:pict>
      </w:r>
    </w:p>
    <w:bookmarkEnd w:id="28"/>
    <w:bookmarkEnd w:id="29"/>
    <w:bookmarkStart w:id="33" w:name="runtime-model"/>
    <w:p>
      <w:pPr>
        <w:pStyle w:val="Heading2"/>
      </w:pPr>
      <w:r>
        <w:t xml:space="preserve">1.7 7. Runtime Model</w:t>
      </w:r>
    </w:p>
    <w:p>
      <w:pPr>
        <w:pStyle w:val="FirstParagraph"/>
      </w:pPr>
      <w:r>
        <w:t xml:space="preserve">The directory structure mirrors the UIAO runtime model:</w:t>
      </w:r>
    </w:p>
    <w:bookmarkStart w:id="30" w:name="conversation-flow-to-document-flow"/>
    <w:p>
      <w:pPr>
        <w:pStyle w:val="Heading3"/>
      </w:pPr>
      <w:r>
        <w:t xml:space="preserve">1.7.1 7.1 Conversation Flow to Document Flow</w:t>
      </w:r>
    </w:p>
    <w:p>
      <w:pPr>
        <w:pStyle w:val="FirstParagraph"/>
      </w:pPr>
      <w:r>
        <w:t xml:space="preserve">Identity - Addressing - Certificates - Overlay - Telemetry - Policy</w:t>
      </w:r>
    </w:p>
    <w:p>
      <w:pPr>
        <w:pStyle w:val="BodyText"/>
      </w:pPr>
      <w:r>
        <w:t xml:space="preserve">maps to</w:t>
      </w:r>
    </w:p>
    <w:p>
      <w:pPr>
        <w:pStyle w:val="BodyText"/>
      </w:pPr>
      <w:r>
        <w:t xml:space="preserve">00 - 01 - 02 - 03 - 04 - 05 - 06 - 07 - 08 - 09 - 10 - 11</w:t>
      </w:r>
    </w:p>
    <w:bookmarkEnd w:id="30"/>
    <w:bookmarkStart w:id="31" w:name="deterministic-navigation"/>
    <w:p>
      <w:pPr>
        <w:pStyle w:val="Heading3"/>
      </w:pPr>
      <w:r>
        <w:t xml:space="preserve">1.7.2 7.2 Deterministic Navigation</w:t>
      </w:r>
    </w:p>
    <w:p>
      <w:pPr>
        <w:pStyle w:val="FirstParagraph"/>
      </w:pPr>
      <w:r>
        <w:t xml:space="preserve">Given the number, the document’s role is always known.</w:t>
      </w:r>
    </w:p>
    <w:bookmarkEnd w:id="31"/>
    <w:bookmarkStart w:id="32" w:name="continuous-evaluation"/>
    <w:p>
      <w:pPr>
        <w:pStyle w:val="Heading3"/>
      </w:pPr>
      <w:r>
        <w:t xml:space="preserve">1.7.3 7.3 Continuous Evaluation</w:t>
      </w:r>
    </w:p>
    <w:p>
      <w:pPr>
        <w:pStyle w:val="FirstParagraph"/>
      </w:pPr>
      <w:r>
        <w:t xml:space="preserve">Crosswalks and governance documents (03-05, 09-11) support continuous monitoring.</w:t>
      </w:r>
    </w:p>
    <w:p>
      <w:r>
        <w:pict>
          <v:rect style="width:0;height:1.5pt" o:hralign="center" o:hrstd="t" o:hr="t"/>
        </w:pict>
      </w:r>
    </w:p>
    <w:bookmarkEnd w:id="32"/>
    <w:bookmarkEnd w:id="33"/>
    <w:bookmarkStart w:id="34" w:name="directory-structure-canonical-table"/>
    <w:p>
      <w:pPr>
        <w:pStyle w:val="Heading2"/>
      </w:pPr>
      <w:r>
        <w:t xml:space="preserve">1.8 8. Directory Structure (Canonical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Number</w:t>
            </w:r>
          </w:p>
        </w:tc>
        <w:tc>
          <w:tcPr/>
          <w:p>
            <w:pPr>
              <w:pStyle w:val="Compact"/>
            </w:pPr>
            <w:r>
              <w:t xml:space="preserve">Document</w:t>
            </w:r>
          </w:p>
        </w:tc>
        <w:tc>
          <w:tcPr/>
          <w:p>
            <w:pPr>
              <w:pStyle w:val="Compact"/>
            </w:pPr>
            <w:r>
              <w:t xml:space="preserve">Category</w:t>
            </w:r>
          </w:p>
        </w:tc>
        <w:tc>
          <w:tcPr/>
          <w:p>
            <w:pPr>
              <w:pStyle w:val="Compact"/>
            </w:pPr>
            <w:r>
              <w:t xml:space="preserve">Description</w:t>
            </w:r>
          </w:p>
        </w:tc>
      </w:tr>
      <w:tr>
        <w:tc>
          <w:tcPr/>
          <w:p>
            <w:pPr>
              <w:pStyle w:val="Compact"/>
            </w:pPr>
            <w:r>
              <w:t xml:space="preserve">00</w:t>
            </w:r>
          </w:p>
        </w:tc>
        <w:tc>
          <w:tcPr/>
          <w:p>
            <w:pPr>
              <w:pStyle w:val="Compact"/>
            </w:pPr>
            <w:r>
              <w:t xml:space="preserve">ControlPlaneArchitecture</w:t>
            </w:r>
          </w:p>
        </w:tc>
        <w:tc>
          <w:tcPr/>
          <w:p>
            <w:pPr>
              <w:pStyle w:val="Compact"/>
            </w:pPr>
            <w:r>
              <w:t xml:space="preserve">Architecture</w:t>
            </w:r>
          </w:p>
        </w:tc>
        <w:tc>
          <w:tcPr/>
          <w:p>
            <w:pPr>
              <w:pStyle w:val="Compact"/>
            </w:pPr>
            <w:r>
              <w:t xml:space="preserve">Defines the six control planes</w:t>
            </w:r>
          </w:p>
        </w:tc>
      </w:tr>
      <w:tr>
        <w:tc>
          <w:tcPr/>
          <w:p>
            <w:pPr>
              <w:pStyle w:val="Compact"/>
            </w:pPr>
            <w:r>
              <w:t xml:space="preserve">01</w:t>
            </w:r>
          </w:p>
        </w:tc>
        <w:tc>
          <w:tcPr/>
          <w:p>
            <w:pPr>
              <w:pStyle w:val="Compact"/>
            </w:pPr>
            <w:r>
              <w:t xml:space="preserve">UnifiedArchitecture</w:t>
            </w:r>
          </w:p>
        </w:tc>
        <w:tc>
          <w:tcPr/>
          <w:p>
            <w:pPr>
              <w:pStyle w:val="Compact"/>
            </w:pPr>
            <w:r>
              <w:t xml:space="preserve">Architecture</w:t>
            </w:r>
          </w:p>
        </w:tc>
        <w:tc>
          <w:tcPr/>
          <w:p>
            <w:pPr>
              <w:pStyle w:val="Compact"/>
            </w:pPr>
            <w:r>
              <w:t xml:space="preserve">Cross-plane architectural model</w:t>
            </w:r>
          </w:p>
        </w:tc>
      </w:tr>
      <w:tr>
        <w:tc>
          <w:tcPr/>
          <w:p>
            <w:pPr>
              <w:pStyle w:val="Compact"/>
            </w:pPr>
            <w:r>
              <w:t xml:space="preserve">02</w:t>
            </w:r>
          </w:p>
        </w:tc>
        <w:tc>
          <w:tcPr/>
          <w:p>
            <w:pPr>
              <w:pStyle w:val="Compact"/>
            </w:pPr>
            <w:r>
              <w:t xml:space="preserve">CanonSpecification</w:t>
            </w:r>
          </w:p>
        </w:tc>
        <w:tc>
          <w:tcPr/>
          <w:p>
            <w:pPr>
              <w:pStyle w:val="Compact"/>
            </w:pPr>
            <w:r>
              <w:t xml:space="preserve">Architecture</w:t>
            </w:r>
          </w:p>
        </w:tc>
        <w:tc>
          <w:tcPr/>
          <w:p>
            <w:pPr>
              <w:pStyle w:val="Compact"/>
            </w:pPr>
            <w:r>
              <w:t xml:space="preserve">Doctrinal modernization canon</w:t>
            </w:r>
          </w:p>
        </w:tc>
      </w:tr>
      <w:tr>
        <w:tc>
          <w:tcPr/>
          <w:p>
            <w:pPr>
              <w:pStyle w:val="Compact"/>
            </w:pPr>
            <w:r>
              <w:t xml:space="preserve">03</w:t>
            </w:r>
          </w:p>
        </w:tc>
        <w:tc>
          <w:tcPr/>
          <w:p>
            <w:pPr>
              <w:pStyle w:val="Compact"/>
            </w:pPr>
            <w:r>
              <w:t xml:space="preserve">FedRAMP20x_Crosswalk</w:t>
            </w:r>
          </w:p>
        </w:tc>
        <w:tc>
          <w:tcPr/>
          <w:p>
            <w:pPr>
              <w:pStyle w:val="Compact"/>
            </w:pPr>
            <w:r>
              <w:t xml:space="preserve">Compliance</w:t>
            </w:r>
          </w:p>
        </w:tc>
        <w:tc>
          <w:tcPr/>
          <w:p>
            <w:pPr>
              <w:pStyle w:val="Compact"/>
            </w:pPr>
            <w:r>
              <w:t xml:space="preserve">Full FedRAMP 20x mapping</w:t>
            </w:r>
          </w:p>
        </w:tc>
      </w:tr>
      <w:tr>
        <w:tc>
          <w:tcPr/>
          <w:p>
            <w:pPr>
              <w:pStyle w:val="Compact"/>
            </w:pPr>
            <w:r>
              <w:t xml:space="preserve">04</w:t>
            </w:r>
          </w:p>
        </w:tc>
        <w:tc>
          <w:tcPr/>
          <w:p>
            <w:pPr>
              <w:pStyle w:val="Compact"/>
            </w:pPr>
            <w:r>
              <w:t xml:space="preserve">FedRAMP20x_Phase2_Summary</w:t>
            </w:r>
          </w:p>
        </w:tc>
        <w:tc>
          <w:tcPr/>
          <w:p>
            <w:pPr>
              <w:pStyle w:val="Compact"/>
            </w:pPr>
            <w:r>
              <w:t xml:space="preserve">Compliance</w:t>
            </w:r>
          </w:p>
        </w:tc>
        <w:tc>
          <w:tcPr/>
          <w:p>
            <w:pPr>
              <w:pStyle w:val="Compact"/>
            </w:pPr>
            <w:r>
              <w:t xml:space="preserve">Modernization-focused summary</w:t>
            </w:r>
          </w:p>
        </w:tc>
      </w:tr>
      <w:tr>
        <w:tc>
          <w:tcPr/>
          <w:p>
            <w:pPr>
              <w:pStyle w:val="Compact"/>
            </w:pPr>
            <w:r>
              <w:t xml:space="preserve">05</w:t>
            </w:r>
          </w:p>
        </w:tc>
        <w:tc>
          <w:tcPr/>
          <w:p>
            <w:pPr>
              <w:pStyle w:val="Compact"/>
            </w:pPr>
            <w:r>
              <w:t xml:space="preserve">ManagementStack</w:t>
            </w:r>
          </w:p>
        </w:tc>
        <w:tc>
          <w:tcPr/>
          <w:p>
            <w:pPr>
              <w:pStyle w:val="Compact"/>
            </w:pPr>
            <w:r>
              <w:t xml:space="preserve">Governance</w:t>
            </w:r>
          </w:p>
        </w:tc>
        <w:tc>
          <w:tcPr/>
          <w:p>
            <w:pPr>
              <w:pStyle w:val="Compact"/>
            </w:pPr>
            <w:r>
              <w:t xml:space="preserve">ServiceNow + Intune control plane</w:t>
            </w:r>
          </w:p>
        </w:tc>
      </w:tr>
      <w:tr>
        <w:tc>
          <w:tcPr/>
          <w:p>
            <w:pPr>
              <w:pStyle w:val="Compact"/>
            </w:pPr>
            <w:r>
              <w:t xml:space="preserve">06</w:t>
            </w:r>
          </w:p>
        </w:tc>
        <w:tc>
          <w:tcPr/>
          <w:p>
            <w:pPr>
              <w:pStyle w:val="Compact"/>
            </w:pPr>
            <w:r>
              <w:t xml:space="preserve">ProgramVision</w:t>
            </w:r>
          </w:p>
        </w:tc>
        <w:tc>
          <w:tcPr/>
          <w:p>
            <w:pPr>
              <w:pStyle w:val="Compact"/>
            </w:pPr>
            <w:r>
              <w:t xml:space="preserve">Leadership</w:t>
            </w:r>
          </w:p>
        </w:tc>
        <w:tc>
          <w:tcPr/>
          <w:p>
            <w:pPr>
              <w:pStyle w:val="Compact"/>
            </w:pPr>
            <w:r>
              <w:t xml:space="preserve">Strategic modernization vision</w:t>
            </w:r>
          </w:p>
        </w:tc>
      </w:tr>
      <w:tr>
        <w:tc>
          <w:tcPr/>
          <w:p>
            <w:pPr>
              <w:pStyle w:val="Compact"/>
            </w:pPr>
            <w:r>
              <w:t xml:space="preserve">07</w:t>
            </w:r>
          </w:p>
        </w:tc>
        <w:tc>
          <w:tcPr/>
          <w:p>
            <w:pPr>
              <w:pStyle w:val="Compact"/>
            </w:pPr>
            <w:r>
              <w:t xml:space="preserve">LeadershipBriefing</w:t>
            </w:r>
          </w:p>
        </w:tc>
        <w:tc>
          <w:tcPr/>
          <w:p>
            <w:pPr>
              <w:pStyle w:val="Compact"/>
            </w:pPr>
            <w:r>
              <w:t xml:space="preserve">Leadership</w:t>
            </w:r>
          </w:p>
        </w:tc>
        <w:tc>
          <w:tcPr/>
          <w:p>
            <w:pPr>
              <w:pStyle w:val="Compact"/>
            </w:pPr>
            <w:r>
              <w:t xml:space="preserve">Executive slide-deck narrative</w:t>
            </w:r>
          </w:p>
        </w:tc>
      </w:tr>
      <w:tr>
        <w:tc>
          <w:tcPr/>
          <w:p>
            <w:pPr>
              <w:pStyle w:val="Compact"/>
            </w:pPr>
            <w:r>
              <w:t xml:space="preserve">08</w:t>
            </w:r>
          </w:p>
        </w:tc>
        <w:tc>
          <w:tcPr/>
          <w:p>
            <w:pPr>
              <w:pStyle w:val="Compact"/>
            </w:pPr>
            <w:r>
              <w:t xml:space="preserve">ModernizationTimeline</w:t>
            </w:r>
          </w:p>
        </w:tc>
        <w:tc>
          <w:tcPr/>
          <w:p>
            <w:pPr>
              <w:pStyle w:val="Compact"/>
            </w:pPr>
            <w:r>
              <w:t xml:space="preserve">Leadership</w:t>
            </w:r>
          </w:p>
        </w:tc>
        <w:tc>
          <w:tcPr/>
          <w:p>
            <w:pPr>
              <w:pStyle w:val="Compact"/>
            </w:pPr>
            <w:r>
              <w:t xml:space="preserve">PMO-ready sequencing plan</w:t>
            </w:r>
          </w:p>
        </w:tc>
      </w:tr>
      <w:tr>
        <w:tc>
          <w:tcPr/>
          <w:p>
            <w:pPr>
              <w:pStyle w:val="Compact"/>
            </w:pPr>
            <w:r>
              <w:t xml:space="preserve">09</w:t>
            </w:r>
          </w:p>
        </w:tc>
        <w:tc>
          <w:tcPr/>
          <w:p>
            <w:pPr>
              <w:pStyle w:val="Compact"/>
            </w:pPr>
            <w:r>
              <w:t xml:space="preserve">CrosswalkIndex</w:t>
            </w:r>
          </w:p>
        </w:tc>
        <w:tc>
          <w:tcPr/>
          <w:p>
            <w:pPr>
              <w:pStyle w:val="Compact"/>
            </w:pPr>
            <w:r>
              <w:t xml:space="preserve">Index</w:t>
            </w:r>
          </w:p>
        </w:tc>
        <w:tc>
          <w:tcPr/>
          <w:p>
            <w:pPr>
              <w:pStyle w:val="Compact"/>
            </w:pPr>
            <w:r>
              <w:t xml:space="preserve">Master index of all crosswalks</w:t>
            </w:r>
          </w:p>
        </w:tc>
      </w:tr>
      <w:tr>
        <w:tc>
          <w:tcPr/>
          <w:p>
            <w:pPr>
              <w:pStyle w:val="Compact"/>
            </w:pPr>
            <w:r>
              <w:t xml:space="preserve">10</w:t>
            </w:r>
          </w:p>
        </w:tc>
        <w:tc>
          <w:tcPr/>
          <w:p>
            <w:pPr>
              <w:pStyle w:val="Compact"/>
            </w:pPr>
            <w:r>
              <w:t xml:space="preserve">DirectoryStructure</w:t>
            </w:r>
          </w:p>
        </w:tc>
        <w:tc>
          <w:tcPr/>
          <w:p>
            <w:pPr>
              <w:pStyle w:val="Compact"/>
            </w:pPr>
            <w:r>
              <w:t xml:space="preserve">Index</w:t>
            </w:r>
          </w:p>
        </w:tc>
        <w:tc>
          <w:tcPr/>
          <w:p>
            <w:pPr>
              <w:pStyle w:val="Compact"/>
            </w:pPr>
            <w:r>
              <w:t xml:space="preserve">This document</w:t>
            </w:r>
          </w:p>
        </w:tc>
      </w:tr>
      <w:tr>
        <w:tc>
          <w:tcPr/>
          <w:p>
            <w:pPr>
              <w:pStyle w:val="Compact"/>
            </w:pPr>
            <w:r>
              <w:t xml:space="preserve">11</w:t>
            </w:r>
          </w:p>
        </w:tc>
        <w:tc>
          <w:tcPr/>
          <w:p>
            <w:pPr>
              <w:pStyle w:val="Compact"/>
            </w:pPr>
            <w:r>
              <w:t xml:space="preserve">GlossaryAndDefinitions</w:t>
            </w:r>
          </w:p>
        </w:tc>
        <w:tc>
          <w:tcPr/>
          <w:p>
            <w:pPr>
              <w:pStyle w:val="Compact"/>
            </w:pPr>
            <w:r>
              <w:t xml:space="preserve">Index</w:t>
            </w:r>
          </w:p>
        </w:tc>
        <w:tc>
          <w:tcPr/>
          <w:p>
            <w:pPr>
              <w:pStyle w:val="Compact"/>
            </w:pPr>
            <w:r>
              <w:t xml:space="preserve">Canonical glossary</w:t>
            </w:r>
          </w:p>
        </w:tc>
      </w:tr>
      <w:tr>
        <w:tc>
          <w:tcPr/>
          <w:p>
            <w:pPr>
              <w:pStyle w:val="Compact"/>
            </w:pPr>
            <w:r>
              <w:t xml:space="preserve">—</w:t>
            </w:r>
          </w:p>
        </w:tc>
        <w:tc>
          <w:tcPr/>
          <w:p>
            <w:pPr>
              <w:pStyle w:val="Compact"/>
            </w:pPr>
            <w:r>
              <w:t xml:space="preserve">/adapters</w:t>
            </w:r>
          </w:p>
        </w:tc>
        <w:tc>
          <w:tcPr/>
          <w:p>
            <w:pPr>
              <w:pStyle w:val="Compact"/>
            </w:pPr>
            <w:r>
              <w:t xml:space="preserve">Adapter Layer</w:t>
            </w:r>
          </w:p>
        </w:tc>
        <w:tc>
          <w:tcPr/>
          <w:p>
            <w:pPr>
              <w:pStyle w:val="Compact"/>
            </w:pPr>
            <w:r>
              <w:t xml:space="preserve">BaseAdapter ABC and adapter registry</w:t>
            </w:r>
          </w:p>
        </w:tc>
      </w:tr>
      <w:tr>
        <w:tc>
          <w:tcPr/>
          <w:p>
            <w:pPr>
              <w:pStyle w:val="Compact"/>
            </w:pPr>
            <w:r>
              <w:t xml:space="preserve">—</w:t>
            </w:r>
          </w:p>
        </w:tc>
        <w:tc>
          <w:tcPr/>
          <w:p>
            <w:pPr>
              <w:pStyle w:val="Compact"/>
            </w:pPr>
            <w:r>
              <w:t xml:space="preserve">/docs/adapters</w:t>
            </w:r>
          </w:p>
        </w:tc>
        <w:tc>
          <w:tcPr/>
          <w:p>
            <w:pPr>
              <w:pStyle w:val="Compact"/>
            </w:pPr>
            <w:r>
              <w:t xml:space="preserve">Adapter Layer</w:t>
            </w:r>
          </w:p>
        </w:tc>
        <w:tc>
          <w:tcPr/>
          <w:p>
            <w:pPr>
              <w:pStyle w:val="Compact"/>
            </w:pPr>
            <w:r>
              <w:t xml:space="preserve">Adapter contract, definitions, and diagrams</w:t>
            </w:r>
          </w:p>
        </w:tc>
      </w:tr>
    </w:tbl>
    <w:p>
      <w:r>
        <w:pict>
          <v:rect style="width:0;height:1.5pt" o:hralign="center" o:hrstd="t" o:hr="t"/>
        </w:pict>
      </w:r>
    </w:p>
    <w:bookmarkEnd w:id="34"/>
    <w:bookmarkStart w:id="38" w:name="dependencies-and-sequencing"/>
    <w:p>
      <w:pPr>
        <w:pStyle w:val="Heading2"/>
      </w:pPr>
      <w:r>
        <w:t xml:space="preserve">1.9 9. Dependencies and Sequencing</w:t>
      </w:r>
    </w:p>
    <w:bookmarkStart w:id="35" w:name="upstream-dependencies"/>
    <w:p>
      <w:pPr>
        <w:pStyle w:val="Heading3"/>
      </w:pPr>
      <w:r>
        <w:t xml:space="preserve">1.9.1 Upstream Dependencies</w:t>
      </w:r>
    </w:p>
    <w:p>
      <w:pPr>
        <w:pStyle w:val="Compact"/>
        <w:numPr>
          <w:ilvl w:val="0"/>
          <w:numId w:val="1006"/>
        </w:numPr>
      </w:pPr>
      <w:r>
        <w:t xml:space="preserve">Identity modernization</w:t>
      </w:r>
    </w:p>
    <w:p>
      <w:pPr>
        <w:pStyle w:val="Compact"/>
        <w:numPr>
          <w:ilvl w:val="0"/>
          <w:numId w:val="1006"/>
        </w:numPr>
      </w:pPr>
      <w:r>
        <w:t xml:space="preserve">IPAM modernization</w:t>
      </w:r>
    </w:p>
    <w:p>
      <w:pPr>
        <w:pStyle w:val="Compact"/>
        <w:numPr>
          <w:ilvl w:val="0"/>
          <w:numId w:val="1006"/>
        </w:numPr>
      </w:pPr>
      <w:r>
        <w:t xml:space="preserve">SD-WAN overlay deployment</w:t>
      </w:r>
    </w:p>
    <w:bookmarkEnd w:id="35"/>
    <w:bookmarkStart w:id="36" w:name="downstream-dependencies"/>
    <w:p>
      <w:pPr>
        <w:pStyle w:val="Heading3"/>
      </w:pPr>
      <w:r>
        <w:t xml:space="preserve">1.9.2 Downstream Dependencies</w:t>
      </w:r>
    </w:p>
    <w:p>
      <w:pPr>
        <w:pStyle w:val="Compact"/>
        <w:numPr>
          <w:ilvl w:val="0"/>
          <w:numId w:val="1007"/>
        </w:numPr>
      </w:pPr>
      <w:r>
        <w:t xml:space="preserve">Automation pipelines</w:t>
      </w:r>
    </w:p>
    <w:p>
      <w:pPr>
        <w:pStyle w:val="Compact"/>
        <w:numPr>
          <w:ilvl w:val="0"/>
          <w:numId w:val="1007"/>
        </w:numPr>
      </w:pPr>
      <w:r>
        <w:t xml:space="preserve">Crosswalk generation</w:t>
      </w:r>
    </w:p>
    <w:p>
      <w:pPr>
        <w:pStyle w:val="Compact"/>
        <w:numPr>
          <w:ilvl w:val="0"/>
          <w:numId w:val="1007"/>
        </w:numPr>
      </w:pPr>
      <w:r>
        <w:t xml:space="preserve">Leadership reporting</w:t>
      </w:r>
    </w:p>
    <w:bookmarkEnd w:id="36"/>
    <w:bookmarkStart w:id="37" w:name="critical-path"/>
    <w:p>
      <w:pPr>
        <w:pStyle w:val="Heading3"/>
      </w:pPr>
      <w:r>
        <w:t xml:space="preserve">1.9.3 Critical Path</w:t>
      </w:r>
    </w:p>
    <w:p>
      <w:pPr>
        <w:pStyle w:val="FirstParagraph"/>
      </w:pPr>
      <w:r>
        <w:t xml:space="preserve">00 - 01 - 02 - 03 - 04 - 05 - 06 - 07 - 08 - 09 - 10 - 11</w:t>
      </w:r>
    </w:p>
    <w:p>
      <w:r>
        <w:pict>
          <v:rect style="width:0;height:1.5pt" o:hralign="center" o:hrstd="t" o:hr="t"/>
        </w:pict>
      </w:r>
    </w:p>
    <w:bookmarkEnd w:id="37"/>
    <w:bookmarkEnd w:id="38"/>
    <w:bookmarkStart w:id="43" w:name="governance-and-drift-controls"/>
    <w:p>
      <w:pPr>
        <w:pStyle w:val="Heading2"/>
      </w:pPr>
      <w:r>
        <w:t xml:space="preserve">1.10 10. Governance and Drift Controls</w:t>
      </w:r>
    </w:p>
    <w:bookmarkStart w:id="39" w:name="source-of-authority"/>
    <w:p>
      <w:pPr>
        <w:pStyle w:val="Heading3"/>
      </w:pPr>
      <w:r>
        <w:t xml:space="preserve">1.10.1 Source of Authority</w:t>
      </w:r>
    </w:p>
    <w:p>
      <w:pPr>
        <w:pStyle w:val="Compact"/>
        <w:numPr>
          <w:ilvl w:val="0"/>
          <w:numId w:val="1008"/>
        </w:numPr>
      </w:pPr>
      <w:r>
        <w:t xml:space="preserve">HR — identity lifecycle</w:t>
      </w:r>
    </w:p>
    <w:p>
      <w:pPr>
        <w:pStyle w:val="Compact"/>
        <w:numPr>
          <w:ilvl w:val="0"/>
          <w:numId w:val="1008"/>
        </w:numPr>
      </w:pPr>
      <w:r>
        <w:t xml:space="preserve">Network architecture — addressing</w:t>
      </w:r>
    </w:p>
    <w:p>
      <w:pPr>
        <w:pStyle w:val="Compact"/>
        <w:numPr>
          <w:ilvl w:val="0"/>
          <w:numId w:val="1008"/>
        </w:numPr>
      </w:pPr>
      <w:r>
        <w:t xml:space="preserve">PKI — certificate trust</w:t>
      </w:r>
    </w:p>
    <w:p>
      <w:pPr>
        <w:pStyle w:val="Compact"/>
        <w:numPr>
          <w:ilvl w:val="0"/>
          <w:numId w:val="1008"/>
        </w:numPr>
      </w:pPr>
      <w:r>
        <w:t xml:space="preserve">System owners — configuration baselines</w:t>
      </w:r>
    </w:p>
    <w:bookmarkEnd w:id="39"/>
    <w:bookmarkStart w:id="40" w:name="drift-detection"/>
    <w:p>
      <w:pPr>
        <w:pStyle w:val="Heading3"/>
      </w:pPr>
      <w:r>
        <w:t xml:space="preserve">1.10.2 Drift Detection</w:t>
      </w:r>
    </w:p>
    <w:p>
      <w:pPr>
        <w:pStyle w:val="Compact"/>
        <w:numPr>
          <w:ilvl w:val="0"/>
          <w:numId w:val="1009"/>
        </w:numPr>
      </w:pPr>
      <w:r>
        <w:t xml:space="preserve">CMDB reconciliation</w:t>
      </w:r>
    </w:p>
    <w:p>
      <w:pPr>
        <w:pStyle w:val="Compact"/>
        <w:numPr>
          <w:ilvl w:val="0"/>
          <w:numId w:val="1009"/>
        </w:numPr>
      </w:pPr>
      <w:r>
        <w:t xml:space="preserve">Intune compliance</w:t>
      </w:r>
    </w:p>
    <w:p>
      <w:pPr>
        <w:pStyle w:val="Compact"/>
        <w:numPr>
          <w:ilvl w:val="0"/>
          <w:numId w:val="1009"/>
        </w:numPr>
      </w:pPr>
      <w:r>
        <w:t xml:space="preserve">SD-WAN overlay validation</w:t>
      </w:r>
    </w:p>
    <w:p>
      <w:pPr>
        <w:pStyle w:val="Compact"/>
        <w:numPr>
          <w:ilvl w:val="0"/>
          <w:numId w:val="1009"/>
        </w:numPr>
      </w:pPr>
      <w:r>
        <w:t xml:space="preserve">IPAM reconciliation</w:t>
      </w:r>
    </w:p>
    <w:bookmarkEnd w:id="40"/>
    <w:bookmarkStart w:id="41" w:name="repository-drift-controls"/>
    <w:p>
      <w:pPr>
        <w:pStyle w:val="Heading3"/>
      </w:pPr>
      <w:r>
        <w:t xml:space="preserve">1.10.3 Repository Drift Controls</w:t>
      </w:r>
    </w:p>
    <w:p>
      <w:pPr>
        <w:pStyle w:val="Compact"/>
        <w:numPr>
          <w:ilvl w:val="0"/>
          <w:numId w:val="1010"/>
        </w:numPr>
      </w:pPr>
      <w:r>
        <w:t xml:space="preserve">No renumbering</w:t>
      </w:r>
    </w:p>
    <w:p>
      <w:pPr>
        <w:pStyle w:val="Compact"/>
        <w:numPr>
          <w:ilvl w:val="0"/>
          <w:numId w:val="1010"/>
        </w:numPr>
      </w:pPr>
      <w:r>
        <w:t xml:space="preserve">No renaming</w:t>
      </w:r>
    </w:p>
    <w:p>
      <w:pPr>
        <w:pStyle w:val="Compact"/>
        <w:numPr>
          <w:ilvl w:val="0"/>
          <w:numId w:val="1010"/>
        </w:numPr>
      </w:pPr>
      <w:r>
        <w:t xml:space="preserve">No relocation</w:t>
      </w:r>
    </w:p>
    <w:p>
      <w:pPr>
        <w:pStyle w:val="Compact"/>
        <w:numPr>
          <w:ilvl w:val="0"/>
          <w:numId w:val="1010"/>
        </w:numPr>
      </w:pPr>
      <w:r>
        <w:t xml:space="preserve">No duplication</w:t>
      </w:r>
    </w:p>
    <w:p>
      <w:pPr>
        <w:pStyle w:val="Compact"/>
        <w:numPr>
          <w:ilvl w:val="0"/>
          <w:numId w:val="1010"/>
        </w:numPr>
      </w:pPr>
      <w:r>
        <w:t xml:space="preserve">No cross-document redefinition</w:t>
      </w:r>
    </w:p>
    <w:bookmarkEnd w:id="41"/>
    <w:bookmarkStart w:id="42" w:name="remediation-workflow"/>
    <w:p>
      <w:pPr>
        <w:pStyle w:val="Heading3"/>
      </w:pPr>
      <w:r>
        <w:t xml:space="preserve">1.10.4 Remediation Workflow</w:t>
      </w:r>
    </w:p>
    <w:p>
      <w:pPr>
        <w:pStyle w:val="Compact"/>
        <w:numPr>
          <w:ilvl w:val="0"/>
          <w:numId w:val="1011"/>
        </w:numPr>
      </w:pPr>
      <w:r>
        <w:t xml:space="preserve">GitHub PR review</w:t>
      </w:r>
    </w:p>
    <w:p>
      <w:pPr>
        <w:pStyle w:val="Compact"/>
        <w:numPr>
          <w:ilvl w:val="0"/>
          <w:numId w:val="1011"/>
        </w:numPr>
      </w:pPr>
      <w:r>
        <w:t xml:space="preserve">Canon steward approval</w:t>
      </w:r>
    </w:p>
    <w:p>
      <w:pPr>
        <w:pStyle w:val="Compact"/>
        <w:numPr>
          <w:ilvl w:val="0"/>
          <w:numId w:val="1011"/>
        </w:numPr>
      </w:pPr>
      <w:r>
        <w:t xml:space="preserve">Automated structure validation</w:t>
      </w:r>
    </w:p>
    <w:p>
      <w:r>
        <w:pict>
          <v:rect style="width:0;height:1.5pt" o:hralign="center" o:hrstd="t" o:hr="t"/>
        </w:pict>
      </w:r>
    </w:p>
    <w:bookmarkEnd w:id="42"/>
    <w:bookmarkEnd w:id="43"/>
    <w:bookmarkStart w:id="47" w:name="appendices"/>
    <w:p>
      <w:pPr>
        <w:pStyle w:val="Heading2"/>
      </w:pPr>
      <w:r>
        <w:t xml:space="preserve">1.11 11. Appendices</w:t>
      </w:r>
    </w:p>
    <w:bookmarkStart w:id="44" w:name="appendix-a-definitions"/>
    <w:p>
      <w:pPr>
        <w:pStyle w:val="Heading3"/>
      </w:pPr>
      <w:r>
        <w:t xml:space="preserve">1.11.1 Appendix A: Definitions</w:t>
      </w:r>
    </w:p>
    <w:p>
      <w:pPr>
        <w:pStyle w:val="FirstParagraph"/>
      </w:pPr>
      <w:r>
        <w:rPr>
          <w:i/>
          <w:iCs/>
        </w:rPr>
        <w:t xml:space="preserve">See</w:t>
      </w:r>
      <w:r>
        <w:rPr>
          <w:i/>
          <w:iCs/>
        </w:rPr>
        <w:t xml:space="preserve"> </w:t>
      </w:r>
      <w:r>
        <w:rPr>
          <w:rStyle w:val="VerbatimChar"/>
          <w:i/>
          <w:iCs/>
        </w:rPr>
        <w:t xml:space="preserve">docs/glossary.md</w:t>
      </w:r>
    </w:p>
    <w:bookmarkEnd w:id="44"/>
    <w:bookmarkStart w:id="45" w:name="appendix-b-tables"/>
    <w:p>
      <w:pPr>
        <w:pStyle w:val="Heading3"/>
      </w:pPr>
      <w:r>
        <w:t xml:space="preserve">1.11.2 Appendix B: Tables</w:t>
      </w:r>
    </w:p>
    <w:p>
      <w:pPr>
        <w:pStyle w:val="FirstParagraph"/>
      </w:pPr>
      <w:r>
        <w:rPr>
          <w:i/>
          <w:iCs/>
        </w:rPr>
        <w:t xml:space="preserve">Directory Structure canonical table is in Section 8.</w:t>
      </w:r>
    </w:p>
    <w:bookmarkEnd w:id="45"/>
    <w:bookmarkStart w:id="46" w:name="appendix-c-evidence-sources"/>
    <w:p>
      <w:pPr>
        <w:pStyle w:val="Heading3"/>
      </w:pPr>
      <w:r>
        <w:t xml:space="preserve">1.11.3 Appendix C: Evidence Sources</w:t>
      </w:r>
    </w:p>
    <w:p>
      <w:pPr>
        <w:pStyle w:val="FirstParagraph"/>
      </w:pPr>
      <w:r>
        <w:rPr>
          <w:i/>
          <w:iCs/>
        </w:rPr>
        <w:t xml:space="preserve">See</w:t>
      </w:r>
      <w:r>
        <w:rPr>
          <w:i/>
          <w:iCs/>
        </w:rPr>
        <w:t xml:space="preserve"> </w:t>
      </w:r>
      <w:r>
        <w:rPr>
          <w:rStyle w:val="VerbatimChar"/>
          <w:i/>
          <w:iCs/>
        </w:rPr>
        <w:t xml:space="preserve">data/parameters.yml</w:t>
      </w:r>
      <w:r>
        <w:rPr>
          <w:i/>
          <w:iCs/>
        </w:rPr>
        <w:t xml:space="preserve"> </w:t>
      </w:r>
      <w:r>
        <w:rPr>
          <w:i/>
          <w:iCs/>
        </w:rPr>
        <w:t xml:space="preserve">and control-library entries for evidence source catalogs.</w:t>
      </w:r>
    </w:p>
    <w:p>
      <w:r>
        <w:pict>
          <v:rect style="width:0;height:1.5pt" o:hralign="center" o:hrstd="t" o:hr="t"/>
        </w:pict>
      </w:r>
    </w:p>
    <w:bookmarkEnd w:id="46"/>
    <w:bookmarkEnd w:id="47"/>
    <w:bookmarkStart w:id="48" w:name="revision-history"/>
    <w:p>
      <w:pPr>
        <w:pStyle w:val="Heading2"/>
      </w:pPr>
      <w:r>
        <w:t xml:space="preserve">1.12 12.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w:t>
            </w:r>
          </w:p>
        </w:tc>
      </w:tr>
      <w:tr>
        <w:tc>
          <w:tcPr/>
          <w:p>
            <w:pPr>
              <w:pStyle w:val="Compact"/>
            </w:pPr>
            <w:r>
              <w:t xml:space="preserve">1.0</w:t>
            </w:r>
          </w:p>
        </w:tc>
        <w:tc>
          <w:tcPr/>
          <w:p>
            <w:pPr>
              <w:pStyle w:val="Compact"/>
            </w:pPr>
            <w:r>
              <w:t xml:space="preserve">2026-03</w:t>
            </w:r>
          </w:p>
        </w:tc>
        <w:tc>
          <w:tcPr/>
          <w:p>
            <w:pPr>
              <w:pStyle w:val="Compact"/>
            </w:pPr>
            <w:r>
              <w:t xml:space="preserve">UIAO Canon Engine</w:t>
            </w:r>
          </w:p>
        </w:tc>
        <w:tc>
          <w:tcPr/>
          <w:p>
            <w:pPr>
              <w:pStyle w:val="Compact"/>
            </w:pPr>
            <w:r>
              <w:t xml:space="preserve">Initial canonical release</w:t>
            </w:r>
          </w:p>
        </w:tc>
      </w:tr>
      <w:tr>
        <w:tc>
          <w:tcPr/>
          <w:p>
            <w:pPr>
              <w:pStyle w:val="Compact"/>
            </w:pPr>
            <w:r>
              <w:t xml:space="preserve">1.1</w:t>
            </w:r>
          </w:p>
        </w:tc>
        <w:tc>
          <w:tcPr/>
          <w:p>
            <w:pPr>
              <w:pStyle w:val="Compact"/>
            </w:pPr>
            <w:r>
              <w:t xml:space="preserve">2026-04</w:t>
            </w:r>
          </w:p>
        </w:tc>
        <w:tc>
          <w:tcPr/>
          <w:p>
            <w:pPr>
              <w:pStyle w:val="Compact"/>
            </w:pPr>
            <w:r>
              <w:t xml:space="preserve">UIAO Adapter Layer</w:t>
            </w:r>
          </w:p>
        </w:tc>
        <w:tc>
          <w:tcPr/>
          <w:p>
            <w:pPr>
              <w:pStyle w:val="Compact"/>
            </w:pPr>
            <w:r>
              <w:t xml:space="preserve">Added /adapters/ and /docs/adapters/ to directory layout and canonical table</w:t>
            </w:r>
          </w:p>
        </w:tc>
      </w:tr>
    </w:tbl>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Directorystructure</dc:title>
  <dc:creator>UIAO Modernization Program</dc:creator>
  <dc:language>en</dc:language>
  <cp:keywords/>
  <dcterms:created xsi:type="dcterms:W3CDTF">2026-04-03T14:31:36Z</dcterms:created>
  <dcterms:modified xsi:type="dcterms:W3CDTF">2026-04-03T14:31:36Z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April 3,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