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11 Glossaryanddefinitions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April 3,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5" w:name="uiao-glossary-and-definitions"/>
    <w:p>
      <w:pPr>
        <w:pStyle w:val="Heading1"/>
      </w:pPr>
      <w:r>
        <w:t xml:space="preserve">1. UIAO Glossary and Definitions</w:t>
      </w:r>
    </w:p>
    <w:bookmarkStart w:id="20" w:name="title-page"/>
    <w:p>
      <w:pPr>
        <w:pStyle w:val="Heading2"/>
      </w:pPr>
      <w:r>
        <w:t xml:space="preserve">1.1 1. Title Page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March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Planes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Canon Glossary (02_Appendices)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1.2 2. Purpose</w:t>
      </w:r>
    </w:p>
    <w:p>
      <w:pPr>
        <w:pStyle w:val="FirstParagraph"/>
      </w:pPr>
      <w:r>
        <w:t xml:space="preserve">This document provides the authoritative glossary for the Unified Identity-Addressing-Overlay (UIAO) canon. It defines all core terms, architectural concepts, control-plane vocabulary, compliance terminology, and modernization language used throughout the 12-document corpus. These definitions are frozen and must not be altered without a formal canon revision.</w:t>
      </w:r>
    </w:p>
    <w:p>
      <w:r>
        <w:pict>
          <v:rect style="width:0;height:1.5pt" o:hralign="center" o:hrstd="t" o:hr="t"/>
        </w:pict>
      </w:r>
    </w:p>
    <w:bookmarkEnd w:id="21"/>
    <w:bookmarkStart w:id="24" w:name="scope"/>
    <w:p>
      <w:pPr>
        <w:pStyle w:val="Heading2"/>
      </w:pPr>
      <w:r>
        <w:t xml:space="preserve">1.3 3. Scope</w:t>
      </w:r>
    </w:p>
    <w:bookmarkStart w:id="22" w:name="included"/>
    <w:p>
      <w:pPr>
        <w:pStyle w:val="Heading3"/>
      </w:pPr>
      <w:r>
        <w:t xml:space="preserve">1.3.1 Included</w:t>
      </w:r>
    </w:p>
    <w:p>
      <w:pPr>
        <w:pStyle w:val="Compact"/>
        <w:numPr>
          <w:ilvl w:val="0"/>
          <w:numId w:val="1001"/>
        </w:numPr>
      </w:pPr>
      <w:r>
        <w:t xml:space="preserve">Canonical definitions of all UIAO terms</w:t>
      </w:r>
    </w:p>
    <w:p>
      <w:pPr>
        <w:pStyle w:val="Compact"/>
        <w:numPr>
          <w:ilvl w:val="0"/>
          <w:numId w:val="1001"/>
        </w:numPr>
      </w:pPr>
      <w:r>
        <w:t xml:space="preserve">Control-plane terminology</w:t>
      </w:r>
    </w:p>
    <w:p>
      <w:pPr>
        <w:pStyle w:val="Compact"/>
        <w:numPr>
          <w:ilvl w:val="0"/>
          <w:numId w:val="1001"/>
        </w:numPr>
      </w:pPr>
      <w:r>
        <w:t xml:space="preserve">Compliance and governance vocabulary</w:t>
      </w:r>
    </w:p>
    <w:p>
      <w:pPr>
        <w:pStyle w:val="Compact"/>
        <w:numPr>
          <w:ilvl w:val="0"/>
          <w:numId w:val="1001"/>
        </w:numPr>
      </w:pPr>
      <w:r>
        <w:t xml:space="preserve">Acronyms and abbreviations</w:t>
      </w:r>
    </w:p>
    <w:p>
      <w:pPr>
        <w:pStyle w:val="Compact"/>
        <w:numPr>
          <w:ilvl w:val="0"/>
          <w:numId w:val="1001"/>
        </w:numPr>
      </w:pPr>
      <w:r>
        <w:t xml:space="preserve">Cross-plane conceptual language</w:t>
      </w:r>
    </w:p>
    <w:bookmarkEnd w:id="22"/>
    <w:bookmarkStart w:id="23" w:name="excluded"/>
    <w:p>
      <w:pPr>
        <w:pStyle w:val="Heading3"/>
      </w:pPr>
      <w:r>
        <w:t xml:space="preserve">1.3.2 Excluded</w:t>
      </w:r>
    </w:p>
    <w:p>
      <w:pPr>
        <w:pStyle w:val="Compact"/>
        <w:numPr>
          <w:ilvl w:val="0"/>
          <w:numId w:val="1002"/>
        </w:numPr>
      </w:pPr>
      <w:r>
        <w:t xml:space="preserve">Vendor-specific product documentation</w:t>
      </w:r>
    </w:p>
    <w:p>
      <w:pPr>
        <w:pStyle w:val="Compact"/>
        <w:numPr>
          <w:ilvl w:val="0"/>
          <w:numId w:val="1002"/>
        </w:numPr>
      </w:pPr>
      <w:r>
        <w:t xml:space="preserve">Implementation-specific terminology</w:t>
      </w:r>
    </w:p>
    <w:p>
      <w:pPr>
        <w:pStyle w:val="Compact"/>
        <w:numPr>
          <w:ilvl w:val="0"/>
          <w:numId w:val="1002"/>
        </w:numPr>
      </w:pPr>
      <w:r>
        <w:t xml:space="preserve">Non-canonical slang or shorthand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plane-alignment"/>
    <w:p>
      <w:pPr>
        <w:pStyle w:val="Heading2"/>
      </w:pPr>
      <w:r>
        <w:t xml:space="preserve">1.4 4. Control Plane Alignment</w:t>
      </w:r>
    </w:p>
    <w:p>
      <w:pPr>
        <w:pStyle w:val="FirstParagraph"/>
      </w:pPr>
      <w:r>
        <w:t xml:space="preserve">This glossary spans all six UIAO control planes: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Vocabulary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Identity, assurance, lifecycle,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Routing, segmentation, overlay, DIA, INR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IPAM, DNS/DHCP, deterministic addressing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and Location</w:t>
            </w:r>
          </w:p>
        </w:tc>
        <w:tc>
          <w:tcPr/>
          <w:p>
            <w:pPr>
              <w:pStyle w:val="Compact"/>
            </w:pPr>
            <w:r>
              <w:t xml:space="preserve">Telemetry, location inference, 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and Compliance</w:t>
            </w:r>
          </w:p>
        </w:tc>
        <w:tc>
          <w:tcPr/>
          <w:p>
            <w:pPr>
              <w:pStyle w:val="Compact"/>
            </w:pPr>
            <w:r>
              <w:t xml:space="preserve">Zero Trust, TIC 3.0, FedRAMP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CMDB, drift detection, configuration baselines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33" w:name="core-concepts"/>
    <w:p>
      <w:pPr>
        <w:pStyle w:val="Heading2"/>
      </w:pPr>
      <w:r>
        <w:t xml:space="preserve">1.5 5. Core Concepts</w:t>
      </w:r>
    </w:p>
    <w:p>
      <w:pPr>
        <w:pStyle w:val="BlockText"/>
      </w:pPr>
      <w:r>
        <w:rPr>
          <w:b/>
          <w:bCs/>
        </w:rPr>
        <w:t xml:space="preserve">Single Source of Truth (SSOT):</w:t>
      </w:r>
      <w:r>
        <w:t xml:space="preserve"> </w:t>
      </w:r>
      <w:r>
        <w:t xml:space="preserve">The README.md is the authoritative origin for all canonical definitions.</w:t>
      </w:r>
    </w:p>
    <w:p>
      <w:pPr>
        <w:pStyle w:val="FirstParagraph"/>
      </w:pPr>
      <w:r>
        <w:t xml:space="preserve">The glossary includes the frozen definitions of the Eight Core Concepts:</w:t>
      </w:r>
    </w:p>
    <w:bookmarkStart w:id="26" w:name="conversation-as-the-atomic-unit"/>
    <w:p>
      <w:pPr>
        <w:pStyle w:val="Heading3"/>
      </w:pPr>
      <w:r>
        <w:t xml:space="preserve">1.5.1 Conversation as the Atomic Unit</w:t>
      </w:r>
    </w:p>
    <w:p>
      <w:pPr>
        <w:pStyle w:val="FirstParagraph"/>
      </w:pPr>
      <w:r>
        <w:t xml:space="preserve">A correlated interaction consisting of identity, addressing, certificates, path, QoS, and telemetry.</w:t>
      </w:r>
    </w:p>
    <w:bookmarkEnd w:id="26"/>
    <w:bookmarkStart w:id="27" w:name="identity-as-the-root-namespace"/>
    <w:p>
      <w:pPr>
        <w:pStyle w:val="Heading3"/>
      </w:pPr>
      <w:r>
        <w:t xml:space="preserve">1.5.2 Identity as the Root Namespace</w:t>
      </w:r>
    </w:p>
    <w:p>
      <w:pPr>
        <w:pStyle w:val="FirstParagraph"/>
      </w:pPr>
      <w:r>
        <w:t xml:space="preserve">Identity governs addressing, certificates, segmentation, and policy.</w:t>
      </w:r>
    </w:p>
    <w:bookmarkEnd w:id="27"/>
    <w:bookmarkStart w:id="28" w:name="deterministic-addressing"/>
    <w:p>
      <w:pPr>
        <w:pStyle w:val="Heading3"/>
      </w:pPr>
      <w:r>
        <w:t xml:space="preserve">1.5.3 Deterministic Addressing</w:t>
      </w:r>
    </w:p>
    <w:p>
      <w:pPr>
        <w:pStyle w:val="FirstParagraph"/>
      </w:pPr>
      <w:r>
        <w:t xml:space="preserve">IP addresses derived from identity attributes and policy, not spreadsheets or manual assignment.</w:t>
      </w:r>
    </w:p>
    <w:bookmarkEnd w:id="28"/>
    <w:bookmarkStart w:id="29" w:name="certificate-anchored-overlay"/>
    <w:p>
      <w:pPr>
        <w:pStyle w:val="Heading3"/>
      </w:pPr>
      <w:r>
        <w:t xml:space="preserve">1.5.4 Certificate-Anchored Overlay</w:t>
      </w:r>
    </w:p>
    <w:p>
      <w:pPr>
        <w:pStyle w:val="FirstParagraph"/>
      </w:pPr>
      <w:r>
        <w:t xml:space="preserve">mTLS-anchored tunnels and service chains that enforce identity-aware routing.</w:t>
      </w:r>
    </w:p>
    <w:bookmarkEnd w:id="29"/>
    <w:bookmarkStart w:id="30" w:name="telemetry-as-control"/>
    <w:p>
      <w:pPr>
        <w:pStyle w:val="Heading3"/>
      </w:pPr>
      <w:r>
        <w:t xml:space="preserve">1.5.5 Telemetry as Control</w:t>
      </w:r>
    </w:p>
    <w:p>
      <w:pPr>
        <w:pStyle w:val="FirstParagraph"/>
      </w:pPr>
      <w:r>
        <w:t xml:space="preserve">Telemetry is a real-time control input for routing, access, segmentation, and compliance.</w:t>
      </w:r>
    </w:p>
    <w:bookmarkEnd w:id="30"/>
    <w:bookmarkStart w:id="31" w:name="embedded-governance-and-automation"/>
    <w:p>
      <w:pPr>
        <w:pStyle w:val="Heading3"/>
      </w:pPr>
      <w:r>
        <w:t xml:space="preserve">1.5.6 Embedded Governance and Automation</w:t>
      </w:r>
    </w:p>
    <w:p>
      <w:pPr>
        <w:pStyle w:val="FirstParagraph"/>
      </w:pPr>
      <w:r>
        <w:t xml:space="preserve">Governance executed through automated workflows, not manual tickets.</w:t>
      </w:r>
    </w:p>
    <w:bookmarkEnd w:id="31"/>
    <w:bookmarkStart w:id="32" w:name="public-service-first"/>
    <w:p>
      <w:pPr>
        <w:pStyle w:val="Heading3"/>
      </w:pPr>
      <w:r>
        <w:t xml:space="preserve">1.5.7 Public Service First</w:t>
      </w:r>
    </w:p>
    <w:p>
      <w:pPr>
        <w:pStyle w:val="FirstParagraph"/>
      </w:pPr>
      <w:r>
        <w:t xml:space="preserve">Citizen experience, accessibility, and privacy are top-level design constraints.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53" w:name="glossary-canonical-definitions"/>
    <w:p>
      <w:pPr>
        <w:pStyle w:val="Heading2"/>
      </w:pPr>
      <w:r>
        <w:t xml:space="preserve">1.6 6. Glossary (Canonical Definitions)</w:t>
      </w:r>
    </w:p>
    <w:p>
      <w:pPr>
        <w:pStyle w:val="FirstParagraph"/>
      </w:pPr>
      <w:r>
        <w:t xml:space="preserve">Below is the authoritative glossary for the UIAO canon.</w:t>
      </w:r>
    </w:p>
    <w:bookmarkStart w:id="34" w:name="a"/>
    <w:p>
      <w:pPr>
        <w:pStyle w:val="Heading3"/>
      </w:pPr>
      <w:r>
        <w:t xml:space="preserve">1.6.1 A</w:t>
      </w:r>
    </w:p>
    <w:p>
      <w:pPr>
        <w:pStyle w:val="FirstParagraph"/>
      </w:pPr>
      <w:r>
        <w:rPr>
          <w:b/>
          <w:bCs/>
        </w:rPr>
        <w:t xml:space="preserve">AC-4 (Access Control)</w:t>
      </w:r>
      <w:r>
        <w:t xml:space="preserve"> </w:t>
      </w:r>
      <w:r>
        <w:t xml:space="preserve">NIST control governing segmentation and identity-aware routing.</w:t>
      </w:r>
    </w:p>
    <w:p>
      <w:pPr>
        <w:pStyle w:val="BodyText"/>
      </w:pPr>
      <w:r>
        <w:rPr>
          <w:b/>
          <w:bCs/>
        </w:rPr>
        <w:t xml:space="preserve">Addressing Control Plane</w:t>
      </w:r>
      <w:r>
        <w:t xml:space="preserve"> </w:t>
      </w:r>
      <w:r>
        <w:t xml:space="preserve">The plane responsible for deterministic IPAM, DNS/DHCP, and identity-derived addressing.</w:t>
      </w:r>
    </w:p>
    <w:p>
      <w:pPr>
        <w:pStyle w:val="BodyText"/>
      </w:pPr>
      <w:r>
        <w:rPr>
          <w:b/>
          <w:bCs/>
        </w:rPr>
        <w:t xml:space="preserve">Asset Inventory (CM-8)</w:t>
      </w:r>
      <w:r>
        <w:t xml:space="preserve"> </w:t>
      </w:r>
      <w:r>
        <w:t xml:space="preserve">Authoritative list of hardware, software, and virtual assets maintained through CMDB and IPAM.</w:t>
      </w:r>
    </w:p>
    <w:bookmarkEnd w:id="34"/>
    <w:bookmarkStart w:id="35" w:name="b"/>
    <w:p>
      <w:pPr>
        <w:pStyle w:val="Heading3"/>
      </w:pPr>
      <w:r>
        <w:t xml:space="preserve">1.6.2 B</w:t>
      </w:r>
    </w:p>
    <w:p>
      <w:pPr>
        <w:pStyle w:val="FirstParagraph"/>
      </w:pPr>
      <w:r>
        <w:rPr>
          <w:b/>
          <w:bCs/>
        </w:rPr>
        <w:t xml:space="preserve">Baseline Configuration (CM-2)</w:t>
      </w:r>
      <w:r>
        <w:t xml:space="preserve"> </w:t>
      </w:r>
      <w:r>
        <w:t xml:space="preserve">Approved configuration settings enforced through Intune and validated through CMDB.</w:t>
      </w:r>
    </w:p>
    <w:p>
      <w:pPr>
        <w:pStyle w:val="BodyText"/>
      </w:pPr>
      <w:r>
        <w:rPr>
          <w:b/>
          <w:bCs/>
        </w:rPr>
        <w:t xml:space="preserve">Branch Modernization</w:t>
      </w:r>
      <w:r>
        <w:t xml:space="preserve"> </w:t>
      </w:r>
      <w:r>
        <w:t xml:space="preserve">TIC 3.0 Branch Use Case implementation using SD-WAN and identity-aware segmentation.</w:t>
      </w:r>
    </w:p>
    <w:bookmarkEnd w:id="35"/>
    <w:bookmarkStart w:id="36" w:name="c"/>
    <w:p>
      <w:pPr>
        <w:pStyle w:val="Heading3"/>
      </w:pPr>
      <w:r>
        <w:t xml:space="preserve">1.6.3 C</w:t>
      </w:r>
    </w:p>
    <w:p>
      <w:pPr>
        <w:pStyle w:val="FirstParagraph"/>
      </w:pPr>
      <w:r>
        <w:rPr>
          <w:b/>
          <w:bCs/>
        </w:rPr>
        <w:t xml:space="preserve">CA-7 (Continuous Monitoring)</w:t>
      </w:r>
      <w:r>
        <w:t xml:space="preserve"> </w:t>
      </w:r>
      <w:r>
        <w:t xml:space="preserve">NIST control requiring real-time telemetry and automated evidence generation.</w:t>
      </w:r>
    </w:p>
    <w:p>
      <w:pPr>
        <w:pStyle w:val="BodyText"/>
      </w:pPr>
      <w:r>
        <w:rPr>
          <w:b/>
          <w:bCs/>
        </w:rPr>
        <w:t xml:space="preserve">Certificate-Anchored Overlay</w:t>
      </w:r>
      <w:r>
        <w:t xml:space="preserve"> </w:t>
      </w:r>
      <w:r>
        <w:t xml:space="preserve">mTLS-anchored tunnels that enforce identity-aware routing and segmentation.</w:t>
      </w:r>
    </w:p>
    <w:p>
      <w:pPr>
        <w:pStyle w:val="BodyText"/>
      </w:pPr>
      <w:r>
        <w:rPr>
          <w:b/>
          <w:bCs/>
        </w:rPr>
        <w:t xml:space="preserve">CMDB (Configuration Management Database)</w:t>
      </w:r>
      <w:r>
        <w:t xml:space="preserve"> </w:t>
      </w:r>
      <w:r>
        <w:t xml:space="preserve">Authoritative system of record for assets, configurations, and relationships.</w:t>
      </w:r>
    </w:p>
    <w:p>
      <w:pPr>
        <w:pStyle w:val="BodyText"/>
      </w:pPr>
      <w:r>
        <w:rPr>
          <w:b/>
          <w:bCs/>
        </w:rPr>
        <w:t xml:space="preserve">Conditional Access</w:t>
      </w:r>
      <w:r>
        <w:t xml:space="preserve"> </w:t>
      </w:r>
      <w:r>
        <w:t xml:space="preserve">Identity-driven access control based on device posture, location, and assurance.</w:t>
      </w:r>
    </w:p>
    <w:p>
      <w:pPr>
        <w:pStyle w:val="BodyText"/>
      </w:pPr>
      <w:r>
        <w:rPr>
          <w:b/>
          <w:bCs/>
        </w:rPr>
        <w:t xml:space="preserve">Conversation</w:t>
      </w:r>
      <w:r>
        <w:t xml:space="preserve"> </w:t>
      </w:r>
      <w:r>
        <w:t xml:space="preserve">The atomic unit of UIAO runtime behavior.</w:t>
      </w:r>
    </w:p>
    <w:p>
      <w:pPr>
        <w:pStyle w:val="BodyText"/>
      </w:pPr>
      <w:r>
        <w:rPr>
          <w:b/>
          <w:bCs/>
        </w:rPr>
        <w:t xml:space="preserve">Crosswalk</w:t>
      </w:r>
      <w:r>
        <w:t xml:space="preserve"> </w:t>
      </w:r>
      <w:r>
        <w:t xml:space="preserve">A mapping between UIAO concepts and external compliance frameworks.</w:t>
      </w:r>
    </w:p>
    <w:bookmarkEnd w:id="36"/>
    <w:bookmarkStart w:id="37" w:name="d"/>
    <w:p>
      <w:pPr>
        <w:pStyle w:val="Heading3"/>
      </w:pPr>
      <w:r>
        <w:t xml:space="preserve">1.6.4 D</w:t>
      </w:r>
    </w:p>
    <w:p>
      <w:pPr>
        <w:pStyle w:val="FirstParagraph"/>
      </w:pPr>
      <w:r>
        <w:rPr>
          <w:b/>
          <w:bCs/>
        </w:rPr>
        <w:t xml:space="preserve">Deterministic Addressing</w:t>
      </w:r>
      <w:r>
        <w:t xml:space="preserve"> </w:t>
      </w:r>
      <w:r>
        <w:t xml:space="preserve">Identity-derived IP addressing that eliminates manual assignment and spreadsheet drift.</w:t>
      </w:r>
    </w:p>
    <w:p>
      <w:pPr>
        <w:pStyle w:val="BodyText"/>
      </w:pPr>
      <w:r>
        <w:rPr>
          <w:b/>
          <w:bCs/>
        </w:rPr>
        <w:t xml:space="preserve">DIA (Direct Internet Access)</w:t>
      </w:r>
      <w:r>
        <w:t xml:space="preserve"> </w:t>
      </w:r>
      <w:r>
        <w:t xml:space="preserve">Cloud-first routing model that bypasses legacy TIC 2.0 bottlenecks.</w:t>
      </w:r>
    </w:p>
    <w:bookmarkEnd w:id="37"/>
    <w:bookmarkStart w:id="38" w:name="e"/>
    <w:p>
      <w:pPr>
        <w:pStyle w:val="Heading3"/>
      </w:pPr>
      <w:r>
        <w:t xml:space="preserve">1.6.5 E</w:t>
      </w:r>
    </w:p>
    <w:p>
      <w:pPr>
        <w:pStyle w:val="FirstParagraph"/>
      </w:pPr>
      <w:r>
        <w:rPr>
          <w:b/>
          <w:bCs/>
        </w:rPr>
        <w:t xml:space="preserve">E911</w:t>
      </w:r>
      <w:r>
        <w:t xml:space="preserve"> </w:t>
      </w:r>
      <w:r>
        <w:t xml:space="preserve">Emergency location services requiring accurate, real-time location inference.</w:t>
      </w:r>
    </w:p>
    <w:p>
      <w:pPr>
        <w:pStyle w:val="BodyText"/>
      </w:pPr>
      <w:r>
        <w:rPr>
          <w:b/>
          <w:bCs/>
        </w:rPr>
        <w:t xml:space="preserve">Entra ID</w:t>
      </w:r>
      <w:r>
        <w:t xml:space="preserve"> </w:t>
      </w:r>
      <w:r>
        <w:t xml:space="preserve">Authoritative identity provider for UIAO.</w:t>
      </w:r>
    </w:p>
    <w:bookmarkEnd w:id="38"/>
    <w:bookmarkStart w:id="39" w:name="f"/>
    <w:p>
      <w:pPr>
        <w:pStyle w:val="Heading3"/>
      </w:pPr>
      <w:r>
        <w:t xml:space="preserve">1.6.6 F</w:t>
      </w:r>
    </w:p>
    <w:p>
      <w:pPr>
        <w:pStyle w:val="FirstParagraph"/>
      </w:pPr>
      <w:r>
        <w:rPr>
          <w:b/>
          <w:bCs/>
        </w:rPr>
        <w:t xml:space="preserve">FedRAMP 20x</w:t>
      </w:r>
      <w:r>
        <w:t xml:space="preserve"> </w:t>
      </w:r>
      <w:r>
        <w:t xml:space="preserve">Telemetry-based validation framework for federal cloud services.</w:t>
      </w:r>
    </w:p>
    <w:p>
      <w:pPr>
        <w:pStyle w:val="BodyText"/>
      </w:pPr>
      <w:r>
        <w:rPr>
          <w:b/>
          <w:bCs/>
        </w:rPr>
        <w:t xml:space="preserve">Frozen State</w:t>
      </w:r>
      <w:r>
        <w:t xml:space="preserve"> </w:t>
      </w:r>
      <w:r>
        <w:t xml:space="preserve">Legacy architectural constraints that prevent modernization.</w:t>
      </w:r>
    </w:p>
    <w:bookmarkEnd w:id="39"/>
    <w:bookmarkStart w:id="40" w:name="g"/>
    <w:p>
      <w:pPr>
        <w:pStyle w:val="Heading3"/>
      </w:pPr>
      <w:r>
        <w:t xml:space="preserve">1.6.7 G</w:t>
      </w:r>
    </w:p>
    <w:p>
      <w:pPr>
        <w:pStyle w:val="FirstParagraph"/>
      </w:pPr>
      <w:r>
        <w:rPr>
          <w:b/>
          <w:bCs/>
        </w:rPr>
        <w:t xml:space="preserve">Governance</w:t>
      </w:r>
      <w:r>
        <w:t xml:space="preserve"> </w:t>
      </w:r>
      <w:r>
        <w:t xml:space="preserve">Automated enforcement of identity, configuration, and compliance policies.</w:t>
      </w:r>
    </w:p>
    <w:bookmarkEnd w:id="40"/>
    <w:bookmarkStart w:id="41" w:name="h"/>
    <w:p>
      <w:pPr>
        <w:pStyle w:val="Heading3"/>
      </w:pPr>
      <w:r>
        <w:t xml:space="preserve">1.6.8 H</w:t>
      </w:r>
    </w:p>
    <w:p>
      <w:pPr>
        <w:pStyle w:val="FirstParagraph"/>
      </w:pPr>
      <w:r>
        <w:rPr>
          <w:b/>
          <w:bCs/>
        </w:rPr>
        <w:t xml:space="preserve">HLD (High-Level Design)</w:t>
      </w:r>
      <w:r>
        <w:t xml:space="preserve"> </w:t>
      </w:r>
      <w:r>
        <w:t xml:space="preserve">Architecture-level design documents defining system behavior and boundaries.</w:t>
      </w:r>
    </w:p>
    <w:bookmarkEnd w:id="41"/>
    <w:bookmarkStart w:id="42" w:name="i"/>
    <w:p>
      <w:pPr>
        <w:pStyle w:val="Heading3"/>
      </w:pPr>
      <w:r>
        <w:t xml:space="preserve">1.6.9 I</w:t>
      </w:r>
    </w:p>
    <w:p>
      <w:pPr>
        <w:pStyle w:val="FirstParagraph"/>
      </w:pPr>
      <w:r>
        <w:rPr>
          <w:b/>
          <w:bCs/>
        </w:rPr>
        <w:t xml:space="preserve">Identity Assurance</w:t>
      </w:r>
      <w:r>
        <w:t xml:space="preserve"> </w:t>
      </w:r>
      <w:r>
        <w:t xml:space="preserve">Confidence level in the authenticity of an identity, governed by NIST 800-63.</w:t>
      </w:r>
    </w:p>
    <w:p>
      <w:pPr>
        <w:pStyle w:val="BodyText"/>
      </w:pPr>
      <w:r>
        <w:rPr>
          <w:b/>
          <w:bCs/>
        </w:rPr>
        <w:t xml:space="preserve">Identity Control Plane</w:t>
      </w:r>
      <w:r>
        <w:t xml:space="preserve"> </w:t>
      </w:r>
      <w:r>
        <w:t xml:space="preserve">The plane responsible for identity lifecycle, authentication, and assurance.</w:t>
      </w:r>
    </w:p>
    <w:p>
      <w:pPr>
        <w:pStyle w:val="BodyText"/>
      </w:pPr>
      <w:r>
        <w:rPr>
          <w:b/>
          <w:bCs/>
        </w:rPr>
        <w:t xml:space="preserve">INR (Intelligent Network Routing)</w:t>
      </w:r>
      <w:r>
        <w:t xml:space="preserve"> </w:t>
      </w:r>
      <w:r>
        <w:t xml:space="preserve">Location-aware routing based on telemetry and identity.</w:t>
      </w:r>
    </w:p>
    <w:p>
      <w:pPr>
        <w:pStyle w:val="BodyText"/>
      </w:pPr>
      <w:r>
        <w:rPr>
          <w:b/>
          <w:bCs/>
        </w:rPr>
        <w:t xml:space="preserve">IPAM (IP Address Management)</w:t>
      </w:r>
      <w:r>
        <w:t xml:space="preserve"> </w:t>
      </w:r>
      <w:r>
        <w:t xml:space="preserve">Authoritative addressing system for deterministic IP allocation.</w:t>
      </w:r>
    </w:p>
    <w:bookmarkEnd w:id="42"/>
    <w:bookmarkStart w:id="43" w:name="k"/>
    <w:p>
      <w:pPr>
        <w:pStyle w:val="Heading3"/>
      </w:pPr>
      <w:r>
        <w:t xml:space="preserve">1.6.10 K</w:t>
      </w:r>
    </w:p>
    <w:p>
      <w:pPr>
        <w:pStyle w:val="FirstParagraph"/>
      </w:pPr>
      <w:r>
        <w:rPr>
          <w:b/>
          <w:bCs/>
        </w:rPr>
        <w:t xml:space="preserve">KSI (Key Security Indicator)</w:t>
      </w:r>
      <w:r>
        <w:t xml:space="preserve"> </w:t>
      </w:r>
      <w:r>
        <w:t xml:space="preserve">Telemetry-based evidence required for FedRAMP 20x validation.</w:t>
      </w:r>
    </w:p>
    <w:bookmarkEnd w:id="43"/>
    <w:bookmarkStart w:id="44" w:name="l"/>
    <w:p>
      <w:pPr>
        <w:pStyle w:val="Heading3"/>
      </w:pPr>
      <w:r>
        <w:t xml:space="preserve">1.6.11 L</w:t>
      </w:r>
    </w:p>
    <w:p>
      <w:pPr>
        <w:pStyle w:val="FirstParagraph"/>
      </w:pPr>
      <w:r>
        <w:rPr>
          <w:b/>
          <w:bCs/>
        </w:rPr>
        <w:t xml:space="preserve">LLD (Low-Level Design)</w:t>
      </w:r>
      <w:r>
        <w:t xml:space="preserve"> </w:t>
      </w:r>
      <w:r>
        <w:t xml:space="preserve">Implementation-level design documents defining configuration details.</w:t>
      </w:r>
    </w:p>
    <w:p>
      <w:pPr>
        <w:pStyle w:val="BodyText"/>
      </w:pPr>
      <w:r>
        <w:rPr>
          <w:b/>
          <w:bCs/>
        </w:rPr>
        <w:t xml:space="preserve">Location Inference</w:t>
      </w:r>
      <w:r>
        <w:t xml:space="preserve"> </w:t>
      </w:r>
      <w:r>
        <w:t xml:space="preserve">Determining user or device location based on IPAM, SD-WAN, and telemetry.</w:t>
      </w:r>
    </w:p>
    <w:bookmarkEnd w:id="44"/>
    <w:bookmarkStart w:id="45" w:name="m"/>
    <w:p>
      <w:pPr>
        <w:pStyle w:val="Heading3"/>
      </w:pPr>
      <w:r>
        <w:t xml:space="preserve">1.6.12 M</w:t>
      </w:r>
    </w:p>
    <w:p>
      <w:pPr>
        <w:pStyle w:val="FirstParagraph"/>
      </w:pPr>
      <w:r>
        <w:rPr>
          <w:b/>
          <w:bCs/>
        </w:rPr>
        <w:t xml:space="preserve">Management Plane</w:t>
      </w:r>
      <w:r>
        <w:t xml:space="preserve"> </w:t>
      </w:r>
      <w:r>
        <w:t xml:space="preserve">The plane responsible for CMDB, drift detection, device compliance, and governance.</w:t>
      </w:r>
    </w:p>
    <w:p>
      <w:pPr>
        <w:pStyle w:val="BodyText"/>
      </w:pPr>
      <w:r>
        <w:rPr>
          <w:b/>
          <w:bCs/>
        </w:rPr>
        <w:t xml:space="preserve">mTLS (Mutual TLS)</w:t>
      </w:r>
      <w:r>
        <w:t xml:space="preserve"> </w:t>
      </w:r>
      <w:r>
        <w:t xml:space="preserve">Certificate-based authentication used for overlay tunnels.</w:t>
      </w:r>
    </w:p>
    <w:bookmarkEnd w:id="45"/>
    <w:bookmarkStart w:id="46" w:name="n"/>
    <w:p>
      <w:pPr>
        <w:pStyle w:val="Heading3"/>
      </w:pPr>
      <w:r>
        <w:t xml:space="preserve">1.6.13 N</w:t>
      </w:r>
    </w:p>
    <w:p>
      <w:pPr>
        <w:pStyle w:val="FirstParagraph"/>
      </w:pPr>
      <w:r>
        <w:rPr>
          <w:b/>
          <w:bCs/>
        </w:rPr>
        <w:t xml:space="preserve">NIST SP 800-53 Rev 5</w:t>
      </w:r>
      <w:r>
        <w:t xml:space="preserve"> </w:t>
      </w:r>
      <w:r>
        <w:t xml:space="preserve">Primary federal security control framework.</w:t>
      </w:r>
    </w:p>
    <w:p>
      <w:pPr>
        <w:pStyle w:val="BodyText"/>
      </w:pPr>
      <w:r>
        <w:rPr>
          <w:b/>
          <w:bCs/>
        </w:rPr>
        <w:t xml:space="preserve">NIST SP 800-63</w:t>
      </w:r>
      <w:r>
        <w:t xml:space="preserve"> </w:t>
      </w:r>
      <w:r>
        <w:t xml:space="preserve">Identity assurance and authentication framework.</w:t>
      </w:r>
    </w:p>
    <w:bookmarkEnd w:id="46"/>
    <w:bookmarkStart w:id="47" w:name="o"/>
    <w:p>
      <w:pPr>
        <w:pStyle w:val="Heading3"/>
      </w:pPr>
      <w:r>
        <w:t xml:space="preserve">1.6.14 O</w:t>
      </w:r>
    </w:p>
    <w:p>
      <w:pPr>
        <w:pStyle w:val="FirstParagraph"/>
      </w:pPr>
      <w:r>
        <w:rPr>
          <w:b/>
          <w:bCs/>
        </w:rPr>
        <w:t xml:space="preserve">Overlay</w:t>
      </w:r>
      <w:r>
        <w:t xml:space="preserve"> </w:t>
      </w:r>
      <w:r>
        <w:t xml:space="preserve">Identity-anchored, certificate-secured virtual network layer.</w:t>
      </w:r>
    </w:p>
    <w:bookmarkEnd w:id="47"/>
    <w:bookmarkStart w:id="48" w:name="p"/>
    <w:p>
      <w:pPr>
        <w:pStyle w:val="Heading3"/>
      </w:pPr>
      <w:r>
        <w:t xml:space="preserve">1.6.15 P</w:t>
      </w:r>
    </w:p>
    <w:p>
      <w:pPr>
        <w:pStyle w:val="FirstParagraph"/>
      </w:pPr>
      <w:r>
        <w:rPr>
          <w:b/>
          <w:bCs/>
        </w:rPr>
        <w:t xml:space="preserve">PIM (Privileged Identity Management)</w:t>
      </w:r>
      <w:r>
        <w:t xml:space="preserve"> </w:t>
      </w:r>
      <w:r>
        <w:t xml:space="preserve">Governance system for privileged access.</w:t>
      </w:r>
    </w:p>
    <w:p>
      <w:pPr>
        <w:pStyle w:val="BodyText"/>
      </w:pPr>
      <w:r>
        <w:rPr>
          <w:b/>
          <w:bCs/>
        </w:rPr>
        <w:t xml:space="preserve">Public Service First</w:t>
      </w:r>
      <w:r>
        <w:t xml:space="preserve"> </w:t>
      </w:r>
      <w:r>
        <w:t xml:space="preserve">Design principle prioritizing citizen experience and accessibility.</w:t>
      </w:r>
    </w:p>
    <w:bookmarkEnd w:id="48"/>
    <w:bookmarkStart w:id="49" w:name="r"/>
    <w:p>
      <w:pPr>
        <w:pStyle w:val="Heading3"/>
      </w:pPr>
      <w:r>
        <w:t xml:space="preserve">1.6.16 R</w:t>
      </w:r>
    </w:p>
    <w:p>
      <w:pPr>
        <w:pStyle w:val="FirstParagraph"/>
      </w:pPr>
      <w:r>
        <w:rPr>
          <w:b/>
          <w:bCs/>
        </w:rPr>
        <w:t xml:space="preserve">Runtime Model</w:t>
      </w:r>
      <w:r>
        <w:t xml:space="preserve"> </w:t>
      </w:r>
      <w:r>
        <w:t xml:space="preserve">UIAO’s operational model based on conversation-level evaluation.</w:t>
      </w:r>
    </w:p>
    <w:bookmarkEnd w:id="49"/>
    <w:bookmarkStart w:id="50" w:name="s"/>
    <w:p>
      <w:pPr>
        <w:pStyle w:val="Heading3"/>
      </w:pPr>
      <w:r>
        <w:t xml:space="preserve">1.6.17 S</w:t>
      </w:r>
    </w:p>
    <w:p>
      <w:pPr>
        <w:pStyle w:val="FirstParagraph"/>
      </w:pPr>
      <w:r>
        <w:rPr>
          <w:b/>
          <w:bCs/>
        </w:rPr>
        <w:t xml:space="preserve">SCuBA</w:t>
      </w:r>
      <w:r>
        <w:t xml:space="preserve"> </w:t>
      </w:r>
      <w:r>
        <w:t xml:space="preserve">CISA’s M365 hardening and identity governance framework.</w:t>
      </w:r>
    </w:p>
    <w:p>
      <w:pPr>
        <w:pStyle w:val="BodyText"/>
      </w:pPr>
      <w:r>
        <w:rPr>
          <w:b/>
          <w:bCs/>
        </w:rPr>
        <w:t xml:space="preserve">SD-WAN</w:t>
      </w:r>
      <w:r>
        <w:t xml:space="preserve"> </w:t>
      </w:r>
      <w:r>
        <w:t xml:space="preserve">Software-defined WAN used for cloud-first routing and segmentation.</w:t>
      </w:r>
    </w:p>
    <w:p>
      <w:pPr>
        <w:pStyle w:val="BodyText"/>
      </w:pPr>
      <w:r>
        <w:rPr>
          <w:b/>
          <w:bCs/>
        </w:rPr>
        <w:t xml:space="preserve">Segmentation</w:t>
      </w:r>
      <w:r>
        <w:t xml:space="preserve"> </w:t>
      </w:r>
      <w:r>
        <w:t xml:space="preserve">Identity-aware network separation enforced through SD-WAN.</w:t>
      </w:r>
    </w:p>
    <w:p>
      <w:pPr>
        <w:pStyle w:val="BodyText"/>
      </w:pPr>
      <w:r>
        <w:rPr>
          <w:b/>
          <w:bCs/>
        </w:rPr>
        <w:t xml:space="preserve">ServiceNow</w:t>
      </w:r>
      <w:r>
        <w:t xml:space="preserve"> </w:t>
      </w:r>
      <w:r>
        <w:t xml:space="preserve">Authoritative system for CMDB, change control, and drift detection.</w:t>
      </w:r>
    </w:p>
    <w:bookmarkEnd w:id="50"/>
    <w:bookmarkStart w:id="51" w:name="t"/>
    <w:p>
      <w:pPr>
        <w:pStyle w:val="Heading3"/>
      </w:pPr>
      <w:r>
        <w:t xml:space="preserve">1.6.18 T</w:t>
      </w:r>
    </w:p>
    <w:p>
      <w:pPr>
        <w:pStyle w:val="FirstParagraph"/>
      </w:pPr>
      <w:r>
        <w:rPr>
          <w:b/>
          <w:bCs/>
        </w:rPr>
        <w:t xml:space="preserve">Telemetry</w:t>
      </w:r>
      <w:r>
        <w:t xml:space="preserve"> </w:t>
      </w:r>
      <w:r>
        <w:t xml:space="preserve">Real-time signals used for routing, access, segmentation, and compliance.</w:t>
      </w:r>
    </w:p>
    <w:p>
      <w:pPr>
        <w:pStyle w:val="BodyText"/>
      </w:pPr>
      <w:r>
        <w:rPr>
          <w:b/>
          <w:bCs/>
        </w:rPr>
        <w:t xml:space="preserve">TIC 3.0</w:t>
      </w:r>
      <w:r>
        <w:t xml:space="preserve"> </w:t>
      </w:r>
      <w:r>
        <w:t xml:space="preserve">Modern federal perimeter and cloud security framework.</w:t>
      </w:r>
    </w:p>
    <w:bookmarkEnd w:id="51"/>
    <w:bookmarkStart w:id="52" w:name="z"/>
    <w:p>
      <w:pPr>
        <w:pStyle w:val="Heading3"/>
      </w:pPr>
      <w:r>
        <w:t xml:space="preserve">1.6.19 Z</w:t>
      </w:r>
    </w:p>
    <w:p>
      <w:pPr>
        <w:pStyle w:val="FirstParagraph"/>
      </w:pPr>
      <w:r>
        <w:rPr>
          <w:b/>
          <w:bCs/>
        </w:rPr>
        <w:t xml:space="preserve">Zero Trust</w:t>
      </w:r>
      <w:r>
        <w:t xml:space="preserve"> </w:t>
      </w:r>
      <w:r>
        <w:t xml:space="preserve">Security model requiring continuous verification of identity, device, and context.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dependencies-and-sequencing"/>
    <w:p>
      <w:pPr>
        <w:pStyle w:val="Heading2"/>
      </w:pPr>
      <w:r>
        <w:t xml:space="preserve">1.7 7. Dependencies and Sequencing</w:t>
      </w:r>
    </w:p>
    <w:bookmarkStart w:id="54" w:name="upstream-dependencies"/>
    <w:p>
      <w:pPr>
        <w:pStyle w:val="Heading3"/>
      </w:pPr>
      <w:r>
        <w:t xml:space="preserve">1.7.1 Upstream Dependencies</w:t>
      </w:r>
    </w:p>
    <w:p>
      <w:pPr>
        <w:pStyle w:val="Compact"/>
        <w:numPr>
          <w:ilvl w:val="0"/>
          <w:numId w:val="1003"/>
        </w:numPr>
      </w:pPr>
      <w:r>
        <w:t xml:space="preserve">Identity modernization</w:t>
      </w:r>
    </w:p>
    <w:p>
      <w:pPr>
        <w:pStyle w:val="Compact"/>
        <w:numPr>
          <w:ilvl w:val="0"/>
          <w:numId w:val="1003"/>
        </w:numPr>
      </w:pPr>
      <w:r>
        <w:t xml:space="preserve">IPAM modernization</w:t>
      </w:r>
    </w:p>
    <w:p>
      <w:pPr>
        <w:pStyle w:val="Compact"/>
        <w:numPr>
          <w:ilvl w:val="0"/>
          <w:numId w:val="1003"/>
        </w:numPr>
      </w:pPr>
      <w:r>
        <w:t xml:space="preserve">SD-WAN overlay deployment</w:t>
      </w:r>
    </w:p>
    <w:bookmarkEnd w:id="54"/>
    <w:bookmarkStart w:id="55" w:name="downstream-dependencies"/>
    <w:p>
      <w:pPr>
        <w:pStyle w:val="Heading3"/>
      </w:pPr>
      <w:r>
        <w:t xml:space="preserve">1.7.2 Downstream Dependencies</w:t>
      </w:r>
    </w:p>
    <w:p>
      <w:pPr>
        <w:pStyle w:val="Compact"/>
        <w:numPr>
          <w:ilvl w:val="0"/>
          <w:numId w:val="1004"/>
        </w:numPr>
      </w:pPr>
      <w:r>
        <w:t xml:space="preserve">Crosswalk generation</w:t>
      </w:r>
    </w:p>
    <w:p>
      <w:pPr>
        <w:pStyle w:val="Compact"/>
        <w:numPr>
          <w:ilvl w:val="0"/>
          <w:numId w:val="1004"/>
        </w:numPr>
      </w:pPr>
      <w:r>
        <w:t xml:space="preserve">Leadership reporting</w:t>
      </w:r>
    </w:p>
    <w:p>
      <w:pPr>
        <w:pStyle w:val="Compact"/>
        <w:numPr>
          <w:ilvl w:val="0"/>
          <w:numId w:val="1004"/>
        </w:numPr>
      </w:pPr>
      <w:r>
        <w:t xml:space="preserve">Governance automation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governance-and-drift-controls"/>
    <w:p>
      <w:pPr>
        <w:pStyle w:val="Heading2"/>
      </w:pPr>
      <w:r>
        <w:t xml:space="preserve">1.8 8. Governance and Drift Controls</w:t>
      </w:r>
    </w:p>
    <w:bookmarkStart w:id="57" w:name="source-of-authority"/>
    <w:p>
      <w:pPr>
        <w:pStyle w:val="Heading3"/>
      </w:pPr>
      <w:r>
        <w:t xml:space="preserve">1.8.1 Source of Authority</w:t>
      </w:r>
    </w:p>
    <w:p>
      <w:pPr>
        <w:pStyle w:val="Compact"/>
        <w:numPr>
          <w:ilvl w:val="0"/>
          <w:numId w:val="1005"/>
        </w:numPr>
      </w:pPr>
      <w:r>
        <w:t xml:space="preserve">HR — identity lifecycle</w:t>
      </w:r>
    </w:p>
    <w:p>
      <w:pPr>
        <w:pStyle w:val="Compact"/>
        <w:numPr>
          <w:ilvl w:val="0"/>
          <w:numId w:val="1005"/>
        </w:numPr>
      </w:pPr>
      <w:r>
        <w:t xml:space="preserve">Network architecture — addressing</w:t>
      </w:r>
    </w:p>
    <w:p>
      <w:pPr>
        <w:pStyle w:val="Compact"/>
        <w:numPr>
          <w:ilvl w:val="0"/>
          <w:numId w:val="1005"/>
        </w:numPr>
      </w:pPr>
      <w:r>
        <w:t xml:space="preserve">PKI — certificate trust</w:t>
      </w:r>
    </w:p>
    <w:p>
      <w:pPr>
        <w:pStyle w:val="Compact"/>
        <w:numPr>
          <w:ilvl w:val="0"/>
          <w:numId w:val="1005"/>
        </w:numPr>
      </w:pPr>
      <w:r>
        <w:t xml:space="preserve">System owners — configuration baselines</w:t>
      </w:r>
    </w:p>
    <w:bookmarkEnd w:id="57"/>
    <w:bookmarkStart w:id="58" w:name="drift-detection"/>
    <w:p>
      <w:pPr>
        <w:pStyle w:val="Heading3"/>
      </w:pPr>
      <w:r>
        <w:t xml:space="preserve">1.8.2 Drift Detection</w:t>
      </w:r>
    </w:p>
    <w:p>
      <w:pPr>
        <w:pStyle w:val="Compact"/>
        <w:numPr>
          <w:ilvl w:val="0"/>
          <w:numId w:val="1006"/>
        </w:numPr>
      </w:pPr>
      <w:r>
        <w:t xml:space="preserve">CMDB reconciliation</w:t>
      </w:r>
    </w:p>
    <w:p>
      <w:pPr>
        <w:pStyle w:val="Compact"/>
        <w:numPr>
          <w:ilvl w:val="0"/>
          <w:numId w:val="1006"/>
        </w:numPr>
      </w:pPr>
      <w:r>
        <w:t xml:space="preserve">Intune compliance</w:t>
      </w:r>
    </w:p>
    <w:p>
      <w:pPr>
        <w:pStyle w:val="Compact"/>
        <w:numPr>
          <w:ilvl w:val="0"/>
          <w:numId w:val="1006"/>
        </w:numPr>
      </w:pPr>
      <w:r>
        <w:t xml:space="preserve">SD-WAN overlay validation</w:t>
      </w:r>
    </w:p>
    <w:p>
      <w:pPr>
        <w:pStyle w:val="Compact"/>
        <w:numPr>
          <w:ilvl w:val="0"/>
          <w:numId w:val="1006"/>
        </w:numPr>
      </w:pPr>
      <w:r>
        <w:t xml:space="preserve">IPAM reconciliation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appendices"/>
    <w:p>
      <w:pPr>
        <w:pStyle w:val="Heading2"/>
      </w:pPr>
      <w:r>
        <w:t xml:space="preserve">1.9 9. Appendices</w:t>
      </w:r>
    </w:p>
    <w:bookmarkStart w:id="60" w:name="appendix-a-acronyms"/>
    <w:p>
      <w:pPr>
        <w:pStyle w:val="Heading3"/>
      </w:pPr>
      <w:r>
        <w:t xml:space="preserve">1.9.1 Appendix A: Acronyms</w:t>
      </w:r>
    </w:p>
    <w:p>
      <w:pPr>
        <w:pStyle w:val="FirstParagraph"/>
      </w:pPr>
      <w:r>
        <w:rPr>
          <w:i/>
          <w:iCs/>
        </w:rPr>
        <w:t xml:space="preserve">All acronyms are defined inline within Section 6.</w:t>
      </w:r>
    </w:p>
    <w:bookmarkEnd w:id="60"/>
    <w:bookmarkStart w:id="61" w:name="appendix-b-extended-definitions"/>
    <w:p>
      <w:pPr>
        <w:pStyle w:val="Heading3"/>
      </w:pPr>
      <w:r>
        <w:t xml:space="preserve">1.9.2 Appendix B: Extended Definitions</w:t>
      </w:r>
    </w:p>
    <w:p>
      <w:pPr>
        <w:pStyle w:val="FirstParagraph"/>
      </w:pPr>
      <w:r>
        <w:rPr>
          <w:i/>
          <w:iCs/>
        </w:rPr>
        <w:t xml:space="preserve">See individual canonical documents for extended context on each term.</w:t>
      </w:r>
    </w:p>
    <w:bookmarkEnd w:id="61"/>
    <w:bookmarkStart w:id="62" w:name="appendix-c-evidence-sources"/>
    <w:p>
      <w:pPr>
        <w:pStyle w:val="Heading3"/>
      </w:pPr>
      <w:r>
        <w:t xml:space="preserve">1.9.3 Appendix C: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revision-history"/>
    <w:p>
      <w:pPr>
        <w:pStyle w:val="Heading2"/>
      </w:pPr>
      <w:r>
        <w:t xml:space="preserve">1.10 10.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 Glossaryanddefinitions</dc:title>
  <dc:creator>UIAO Modernization Program</dc:creator>
  <dc:language>en</dc:language>
  <cp:keywords/>
  <dcterms:created xsi:type="dcterms:W3CDTF">2026-04-03T14:31:41Z</dcterms:created>
  <dcterms:modified xsi:type="dcterms:W3CDTF">2026-04-03T14:31:41Z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April 3,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