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01 — Federal Application-Aware Networking — Helpdesk &amp; ITSM Catalog</w:t>
      </w:r>
    </w:p>
    <w:p>
      <w:pPr>
        <w:pStyle w:val="Subtitle"/>
      </w:pPr>
      <w:r>
        <w:t xml:space="preserve">The common Entra · M365 · Azure operator tasks as governed, control-mapped ServiceNow catalog items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01. The highest-volume day-2 surface: the everyday Entra / M365 / Azure help-desk requests — joiner/mover/leaver, credential resets, group and license grants, guest invites. This book turns each into a typed, control-mapped ServiceNow catalog item actuated through the in-boundary MID, so routine operations produce compliance evidence instead of eroding it.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service desk performs hundreds of identity changes a week. Each one — a new account, a password reset, a group add — is a change to an identity-attributed surface that a control governs (AC-2, IA-5, AC-6). Performed as a portal click by a standing-admin operator, it is ungoverned, unevidenced, and least-privilege only by hope. Multiplied across a week, that is the largest continuous source of control erosion in the estate.</w:t>
      </w:r>
    </w:p>
    <w:p>
      <w:pPr>
        <w:pStyle w:val="BodyText"/>
      </w:pPr>
      <w:r>
        <w:t xml:space="preserve">This book expresses those requests as governed catalog items. The machine-readable binding lives in</w:t>
      </w:r>
      <w:r>
        <w:t xml:space="preserve"> </w:t>
      </w: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each item mapped to its control, approval gate, KSI, and evidence slot, a projection of the compliance spine and CI-checked against it.</w:t>
      </w:r>
    </w:p>
    <w:bookmarkEnd w:id="10"/>
    <w:bookmarkStart w:id="11" w:name="the-catalog"/>
    <w:p>
      <w:pPr>
        <w:pStyle w:val="Heading1"/>
      </w:pPr>
      <w:r>
        <w:t xml:space="preserve">The Catalog</w:t>
      </w:r>
    </w:p>
    <w:p>
      <w:pPr>
        <w:pStyle w:val="FirstParagraph"/>
      </w:pPr>
      <w:r>
        <w:t xml:space="preserve">Ten items across three families. Each is a request, not a click; each carries the approval gate its control requires.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Catalog 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Approval gate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account (Joiner)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manager + identity</w:t>
            </w:r>
          </w:p>
        </w:tc>
        <w:tc>
          <w:tcPr/>
          <w:p>
            <w:pPr>
              <w:pStyle w:val="Compact"/>
            </w:pPr>
            <w:r>
              <w:t xml:space="preserve">Provision from the HRIT SSOT (Vol I Book 04); least-privilege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Role/scope change (Mover)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manager + identity</w:t>
            </w:r>
          </w:p>
        </w:tc>
        <w:tc>
          <w:tcPr/>
          <w:p>
            <w:pPr>
              <w:pStyle w:val="Compact"/>
            </w:pPr>
            <w:r>
              <w:t xml:space="preserve">Access review on change; remove stale entitlements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De-provision (Leaver)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manager + identity</w:t>
            </w:r>
          </w:p>
        </w:tc>
        <w:tc>
          <w:tcPr/>
          <w:p>
            <w:pPr>
              <w:pStyle w:val="Compact"/>
            </w:pPr>
            <w:r>
              <w:t xml:space="preserve">Evidenced: disable, revoke sessions, reassign owned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self-service / service-desk</w:t>
            </w:r>
          </w:p>
        </w:tc>
        <w:tc>
          <w:tcPr/>
          <w:p>
            <w:pPr>
              <w:pStyle w:val="Compact"/>
            </w:pPr>
            <w:r>
              <w:t xml:space="preserve">SSPR where policy allows; else identity-verified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MFA-method reset</w:t>
            </w:r>
          </w:p>
        </w:tc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service-desk + verify</w:t>
            </w:r>
          </w:p>
        </w:tc>
        <w:tc>
          <w:tcPr/>
          <w:p>
            <w:pPr>
              <w:pStyle w:val="Compact"/>
            </w:pPr>
            <w:r>
              <w:t xml:space="preserve">Identity-proofing required; log + alert (social-engineering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unlock</w:t>
            </w:r>
          </w:p>
        </w:tc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self-service / service-desk</w:t>
            </w:r>
          </w:p>
        </w:tc>
        <w:tc>
          <w:tcPr/>
          <w:p>
            <w:pPr>
              <w:pStyle w:val="Compact"/>
            </w:pPr>
            <w:r>
              <w:t xml:space="preserve">Repeated unlocks are a Vol VI Book 03 detection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membership</w:t>
            </w:r>
          </w:p>
        </w:tc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owner + approver</w:t>
            </w:r>
          </w:p>
        </w:tc>
        <w:tc>
          <w:tcPr/>
          <w:p>
            <w:pPr>
              <w:pStyle w:val="Compact"/>
            </w:pPr>
            <w:r>
              <w:t xml:space="preserve">Time-bound where elevated; access-review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assignment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Group-based licensing 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Conditional-Access exception</w:t>
            </w:r>
          </w:p>
        </w:tc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security approver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 Vol VII Book 02</w:t>
            </w:r>
            <w:r>
              <w:t xml:space="preserve"> </w:t>
            </w:r>
            <w:r>
              <w:t xml:space="preserve">— mandatory expiry +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/ B2B invite</w:t>
            </w:r>
          </w:p>
        </w:tc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sponsor + security</w:t>
            </w:r>
          </w:p>
        </w:tc>
        <w:tc>
          <w:tcPr/>
          <w:p>
            <w:pPr>
              <w:pStyle w:val="Compact"/>
            </w:pPr>
            <w:r>
              <w:t xml:space="preserve">Sponsor + expiry</w:t>
            </w:r>
          </w:p>
        </w:tc>
      </w:tr>
    </w:tbl>
    <w:p>
      <w:pPr>
        <w:pStyle w:val="CalloutNote"/>
      </w:pPr>
      <w:r>
        <w:rPr>
          <w:b/>
          <w:bCs/>
        </w:rPr>
        <w:t xml:space="preserve">Reuse, don’t reinvent.</w:t>
      </w:r>
      <w:r>
        <w:t xml:space="preserve"> </w:t>
      </w:r>
      <w:r>
        <w:t xml:space="preserve">The Conditional-Access exception item is the same pattern Vol VII Book 02 already models (mandatory break-glass exclusion, expiry, access review). The help-desk catalog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t xml:space="preserve">it; it does not fork a second CA-exception path.</w:t>
      </w:r>
    </w:p>
    <w:bookmarkEnd w:id="11"/>
    <w:bookmarkStart w:id="16" w:name="the-request-loop"/>
    <w:p>
      <w:pPr>
        <w:pStyle w:val="Heading1"/>
      </w:pPr>
      <w:r>
        <w:t xml:space="preserve">The Request Loop</w:t>
      </w:r>
    </w:p>
    <w:bookmarkStart w:id="15" w:name="fig-vol9b01-loop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helpdesk request loop — preflight safety, approve, actuate via the in-boundary MID, verify, close with evidence" title="" id="13" name="Picture"/>
            <a:graphic>
              <a:graphicData uri="http://schemas.openxmlformats.org/drawingml/2006/picture">
                <pic:pic>
                  <pic:nvPicPr>
                    <pic:cNvPr descr="figs/vol9b01-fig-01-request-loop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helpdesk request loop — preflight safety, approve, actuate via the in-boundary MID, verify, close with evidence</w:t>
      </w:r>
    </w:p>
    <w:bookmarkEnd w:id="15"/>
    <w:p>
      <w:pPr>
        <w:pStyle w:val="BodyText"/>
      </w:pPr>
      <w:r>
        <w:t xml:space="preserve">Every item runs the same governed loop — the day-2 analogue of the Vol VII compliance loop: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— a typed catalog item against the reconciled identity CI, with the requester, target, and justification.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— the gate the control requires (self-service, manager, identity, owner, or security approver — per the control map).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Actuate</w:t>
      </w:r>
      <w:r>
        <w:t xml:space="preserve"> </w:t>
      </w:r>
      <w:r>
        <w:t xml:space="preserve">— Microsoft Graph</w:t>
      </w:r>
      <w:r>
        <w:t xml:space="preserve"> </w:t>
      </w:r>
      <w:r>
        <w:rPr>
          <w:b/>
          <w:bCs/>
        </w:rPr>
        <w:t xml:space="preserve">through the in-boundary MID Server</w:t>
      </w:r>
      <w:r>
        <w:t xml:space="preserve">; the connector holds scoped, logged, individually-approved write —</w:t>
      </w:r>
      <w:r>
        <w:t xml:space="preserve"> </w:t>
      </w:r>
      <w:r>
        <w:rPr>
          <w:b/>
          <w:bCs/>
        </w:rPr>
        <w:t xml:space="preserve">never standing tenant admin</w:t>
      </w:r>
      <w:r>
        <w:t xml:space="preserve"> </w:t>
      </w:r>
      <w:r>
        <w:t xml:space="preserve">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the request, approval, and Graph result become a change record (CM-3 / AU-2) reconciled to the CM-8 CMDB, feeding Vol VII Book 04 attestation.</w:t>
      </w:r>
    </w:p>
    <w:p>
      <w:pPr>
        <w:pStyle w:val="CalloutImportant"/>
      </w:pPr>
      <w:r>
        <w:rPr>
          <w:b/>
          <w:bCs/>
        </w:rPr>
        <w:t xml:space="preserve">The leaver is the one that fails audits.</w:t>
      </w:r>
      <w:r>
        <w:t xml:space="preserve"> </w:t>
      </w:r>
      <w:r>
        <w:t xml:space="preserve">De-provisioning is an</w:t>
      </w:r>
      <w:r>
        <w:t xml:space="preserve"> </w:t>
      </w:r>
      <w:r>
        <w:rPr>
          <w:i/>
          <w:iCs/>
        </w:rPr>
        <w:t xml:space="preserve">evidenced obligation</w:t>
      </w:r>
      <w:r>
        <w:t xml:space="preserve">, not a courtesy: disable the account, revoke active sessions and refresh tokens, and reassign owned objects (groups, app ownerships, mailboxes). A leaver</w:t>
      </w:r>
      <w:r>
        <w:t xml:space="preserve"> </w:t>
      </w:r>
      <w:r>
        <w:t xml:space="preserve">“done”</w:t>
      </w:r>
      <w:r>
        <w:t xml:space="preserve"> </w:t>
      </w:r>
      <w:r>
        <w:t xml:space="preserve">with no evidence trail is an orphaned-credential finding waiting to happen — the exact gap the audited catalog closes.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d54c9857bf12b5efb6f1d9bb5e76f2f229cccf1"/>
    <w:p>
      <w:pPr>
        <w:pStyle w:val="Heading2"/>
      </w:pPr>
      <w:r>
        <w:t xml:space="preserve">Closure Necessity — the help desk is a control surface, not a convenience</w:t>
      </w:r>
    </w:p>
    <w:p>
      <w:pPr>
        <w:pStyle w:val="CalloutTip"/>
      </w:pPr>
      <w:r>
        <w:t xml:space="preserve">Volumes I and VII establish that verified identity, phishing-resistant auth, and least privilege are the mechanisms. This book makes the</w:t>
      </w:r>
      <w:r>
        <w:t xml:space="preserve"> </w:t>
      </w:r>
      <w:r>
        <w:rPr>
          <w:i/>
          <w:iCs/>
        </w:rPr>
        <w:t xml:space="preserve">routine exercise</w:t>
      </w:r>
      <w:r>
        <w:t xml:space="preserve"> </w:t>
      </w:r>
      <w:r>
        <w:t xml:space="preserve">of those mechanisms governed and evidenced. Without it, AC-2, IA-5, and AC-6 are eroded a hundred small clicks at a time — each unlogged, each least-privilege by hope. The catalog does not add a new control; it stops the highest-frequency operations from quietly dismantling the ones already claimed.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</w:t>
      </w:r>
    </w:p>
    <w:p>
      <w:pPr>
        <w:pStyle w:val="TableCaption"/>
      </w:pPr>
      <w:r>
        <w:t xml:space="preserve">Authorities Closed Here â€” Helpdesk &amp; ITSM Catalog (Entra Â· M365 Â· Azure) (â€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â€” Helpdesk &amp; ITSM Catalog (Entra Â· M365 Â· Azure) (â€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Joiner/mover/leaver, guest invite, and license/group requests as governed ServiceNow catalog items over Entra (Graph via in-boundary MID); leaver de-provisioning evidenced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</w:pPr>
            <w:r>
              <w:t xml:space="preserve">Conditional Access exceptions issued only as governed catalog items with a mandatory expiry and a scheduled access review â€” an exception weakens a blocking enforcement control and is treated as such, never granted standing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Group and privileged-access requests time-bound and access-reviewed; no standing elevation granted by a helpdesk click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M-22-09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  <w:tc>
          <w:tcPr/>
          <w:p>
            <w:pPr>
              <w:pStyle w:val="Compact"/>
            </w:pPr>
            <w:r>
              <w:t xml:space="preserve">Password reset, MFA-method reset, and account unlock as identity-verified catalog items (self-service via SSPR where policy allows; else approver-gated)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Self-service items (SSPR, unlock) are only as strong as the tenant’s authentication-method policy; a weak SSPR policy is a Vol VI Book 02 configuration concern, not a catalog fix.</w:t>
      </w:r>
    </w:p>
    <w:p>
      <w:pPr>
        <w:pStyle w:val="Compact"/>
        <w:numPr>
          <w:ilvl w:val="0"/>
          <w:numId w:val="1002"/>
        </w:numPr>
      </w:pPr>
      <w:r>
        <w:t xml:space="preserve">The catalog governs the</w:t>
      </w:r>
      <w:r>
        <w:t xml:space="preserve"> </w:t>
      </w:r>
      <w:r>
        <w:rPr>
          <w:i/>
          <w:iCs/>
        </w:rPr>
        <w:t xml:space="preserve">request</w:t>
      </w:r>
      <w:r>
        <w:t xml:space="preserve">; a standing global administrator can still act out of band — Vol VII Book 02 detections and access reviews catch that.</w:t>
      </w:r>
    </w:p>
    <w:p>
      <w:pPr>
        <w:pStyle w:val="Compact"/>
        <w:numPr>
          <w:ilvl w:val="0"/>
          <w:numId w:val="1002"/>
        </w:numPr>
      </w:pPr>
      <w:r>
        <w:t xml:space="preserve">Substituting the ITSM platform changes the catalog and connector syntax; the request→approve→actuate-via-MID→evidence discipline is invariant.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 this book documents.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items provision from.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</w:t>
      </w:r>
      <w:r>
        <w:t xml:space="preserve"> </w:t>
      </w:r>
      <w:r>
        <w:t xml:space="preserve">— the Conditional-Access exception pattern this catalog reuses;</w:t>
      </w:r>
      <w:r>
        <w:t xml:space="preserve"> </w:t>
      </w: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audited actions become attestation.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IX Book 03</w:t>
      </w:r>
      <w:r>
        <w:t xml:space="preserve"> </w:t>
      </w:r>
      <w:r>
        <w:t xml:space="preserve">— app-registration governance (service-principal identity lifecycle, the machine analogue of JML).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ServiceNow, Microsoft Graph, and Entra are deployed examples; the request→approve→actuate-native→evidence discipline is the invariant. Vendor claims cite vendor documentation. The figure above is authored as committed house-style SVG,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01 — Federal Application-Aware Networking — Helpdesk &amp; ITSM Catalog</dc:title>
  <dc:creator>SSA Cloud Services Team</dc:creator>
  <cp:keywords/>
  <dcterms:created xsi:type="dcterms:W3CDTF">2026-07-15T19:03:43Z</dcterms:created>
  <dcterms:modified xsi:type="dcterms:W3CDTF">2026-07-15T19:03:43Z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The common Entra · M365 · Azure operator tasks as governed, control-mapped ServiceNow catalog items</vt:lpwstr>
  </property>
</Properties>
</file>