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pPr>
        <w:spacing w:before="3000"/>
      </w:pPr>
    </w:p>
    <w:p>
      <w:pPr>
        <w:spacing w:after="200"/>
        <w:jc w:val="center"/>
      </w:pPr>
      <w:r>
        <w:rPr>
          <w:rFonts w:ascii="Arial" w:cs="Arial" w:eastAsia="Arial" w:hAnsi="Arial"/>
          <w:b/>
          <w:bCs/>
          <w:color w:val="2E75B6"/>
          <w:sz w:val="52"/>
          <w:szCs w:val="52"/>
        </w:rPr>
        <w:t xml:space="preserve">UIAO SCuBA Technical Specification</w:t>
      </w:r>
    </w:p>
    <w:p>
      <w:pPr>
        <w:spacing w:after="100"/>
        <w:jc w:val="center"/>
      </w:pPr>
      <w:r>
        <w:rPr>
          <w:rFonts w:ascii="Arial" w:cs="Arial" w:eastAsia="Arial" w:hAnsi="Arial"/>
          <w:color w:val="5A5A5A"/>
          <w:sz w:val="24"/>
          <w:szCs w:val="24"/>
        </w:rPr>
        <w:t xml:space="preserve">Document ID: UIAO_002  |  Version 1.0  |  April 2026</w:t>
      </w:r>
    </w:p>
    <w:p>
      <w:pPr>
        <w:spacing w:after="100"/>
        <w:jc w:val="center"/>
      </w:pPr>
      <w:r>
        <w:rPr>
          <w:rFonts w:ascii="Arial" w:cs="Arial" w:eastAsia="Arial" w:hAnsi="Arial"/>
          <w:color w:val="5A5A5A"/>
          <w:sz w:val="24"/>
          <w:szCs w:val="24"/>
        </w:rPr>
        <w:t xml:space="preserve">Author: Michael Stratton</w:t>
      </w:r>
    </w:p>
    <w:p>
      <w:pPr>
        <w:spacing w:after="100"/>
        <w:jc w:val="center"/>
      </w:pPr>
      <w:r>
        <w:rPr>
          <w:rFonts w:ascii="Arial" w:cs="Arial" w:eastAsia="Arial" w:hAnsi="Arial"/>
          <w:color w:val="5A5A5A"/>
          <w:sz w:val="22"/>
          <w:szCs w:val="22"/>
        </w:rPr>
        <w:t xml:space="preserve">Classification: UIAO Canon – Controlled  |  GCC-Moderate Only</w:t>
      </w:r>
    </w:p>
    <w:p>
      <w:pPr>
        <w:spacing w:after="100"/>
        <w:jc w:val="center"/>
      </w:pPr>
      <w:r>
        <w:rPr>
          <w:rFonts w:ascii="Arial" w:cs="Arial" w:eastAsia="Arial" w:hAnsi="Arial"/>
          <w:color w:val="1A9E8F"/>
          <w:sz w:val="22"/>
          <w:szCs w:val="22"/>
        </w:rPr>
        <w:t xml:space="preserve">No-Hallucination Mode: ENABLED</w:t>
      </w:r>
    </w:p>
    <w:p>
      <w:r>
        <w:br w:type="page"/>
      </w:r>
    </w:p>
    <w:p>
      <w:pPr>
        <w:pStyle w:val="Heading1"/>
        <w:spacing w:after="200" w:before="360"/>
      </w:pPr>
      <w:r>
        <w:rPr>
          <w:rFonts w:ascii="Arial" w:cs="Arial" w:eastAsia="Arial" w:hAnsi="Arial"/>
          <w:b/>
          <w:bCs/>
          <w:color w:val="2E75B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2E75B6"/>
          <w:sz w:val="32"/>
          <w:szCs w:val="32"/>
        </w:rPr>
        <w:t xml:space="preserve">1. Executive Summary</w:t>
      </w:r>
    </w:p>
    <w:p>
      <w:pPr>
        <w:spacing w:after="120"/>
      </w:pPr>
      <w:r>
        <w:rPr>
          <w:rFonts w:ascii="Arial" w:cs="Arial" w:eastAsia="Arial" w:hAnsi="Arial"/>
          <w:sz w:val="22"/>
          <w:szCs w:val="22"/>
        </w:rPr>
        <w:t xml:space="preserve">UIAO integrates CISA’s Secure Cloud Business Applications (SCuBA) assessment framework into a deterministic, four-plane compliance pipeline that transforms raw ScubaGear output into auditor-ready OSCAL artifacts. The pipeline ingests ScubaGear JSON, normalizes it through a three-hop mapping chain (PolicyId to NIST SP 800-53 control to UIAO Key Security Indicator), evaluates compliance posture, builds tamper-evident evidence bundles signed with HMAC-SHA256, and generates OSCAL 1.1.2 System Security Plans, Plans of Action and Milestones, and Security Assessment Reports.</w:t>
      </w:r>
    </w:p>
    <w:p>
      <w:pPr>
        <w:spacing w:after="120"/>
      </w:pPr>
      <w:r>
        <w:rPr>
          <w:rFonts w:ascii="Arial" w:cs="Arial" w:eastAsia="Arial" w:hAnsi="Arial"/>
          <w:sz w:val="22"/>
          <w:szCs w:val="22"/>
        </w:rPr>
        <w:t xml:space="preserve">This specification covers the full SCuBA integration: 143 policy-to-control mappings across eight Microsoft 365 product baselines (Entra ID, Defender, Exchange Online, SharePoint, Teams, Power Platform, Power BI, and Security Suite), the normalization engine that handles both combined and per-product ScubaGear output formats, the four-plane orchestrator with retry logic and timestamped run isolation, and the evidence integrity chain from raw scan to signed OSCAL deliverable. The system operates exclusively within the GCC-Moderate boundary for M365 SaaS services, with no Azure IaaS/PaaS dependencies.</w:t>
      </w:r>
    </w:p>
    <w:p>
      <w:pPr>
        <w:spacing w:after="120"/>
      </w:pPr>
      <w:r>
        <w:rPr>
          <w:rFonts w:ascii="Arial" w:cs="Arial" w:eastAsia="Arial" w:hAnsi="Arial"/>
          <w:sz w:val="22"/>
          <w:szCs w:val="22"/>
        </w:rPr>
        <w:t xml:space="preserve">For leadership: UIAO’s SCuBA integration replaces manual compliance evidence gathering with a continuous, automated pipeline that produces FedRAMP Moderate-aligned artifacts in under 120 seconds per assessment cycle. Every output is deterministic and every evidence item carries cryptographic provenance tracing it back to the original scan. This directly supports CISA Binding Operational Directive 25-01 mandatory timelines with machine-readable, auditor-ready evidence.</w:t>
      </w:r>
    </w:p>
    <w:p>
      <w:r>
        <w:br w:type="page"/>
      </w:r>
    </w:p>
    <w:p>
      <w:pPr>
        <w:pStyle w:val="Heading1"/>
        <w:spacing w:after="200" w:before="360"/>
      </w:pPr>
      <w:r>
        <w:rPr>
          <w:rFonts w:ascii="Arial" w:cs="Arial" w:eastAsia="Arial" w:hAnsi="Arial"/>
          <w:b/>
          <w:bCs/>
          <w:color w:val="2E75B6"/>
          <w:sz w:val="32"/>
          <w:szCs w:val="32"/>
        </w:rPr>
        <w:t xml:space="preserve">2. Context and Problem Statement</w:t>
      </w:r>
    </w:p>
    <w:p>
      <w:pPr>
        <w:spacing w:after="120"/>
      </w:pPr>
      <w:r>
        <w:rPr>
          <w:rFonts w:ascii="Arial" w:cs="Arial" w:eastAsia="Arial" w:hAnsi="Arial"/>
          <w:b/>
          <w:bCs/>
          <w:sz w:val="22"/>
          <w:szCs w:val="22"/>
        </w:rPr>
        <w:t xml:space="preserve">The Problem. </w:t>
      </w:r>
      <w:r>
        <w:rPr>
          <w:rFonts w:ascii="Arial" w:cs="Arial" w:eastAsia="Arial" w:hAnsi="Arial"/>
          <w:sz w:val="22"/>
          <w:szCs w:val="22"/>
        </w:rPr>
        <w:t xml:space="preserve">Federal agencies operating Microsoft 365 in GCC-Moderate environments must continuously demonstrate compliance with NIST SP 800-53 Rev 5 controls, FedRAMP Moderate baselines, and CISA SCuBA secure configuration guidelines. CISA’s ScubaGear tool produces raw JSON assessment output, but there is no standardized pipeline for transforming that output into structured compliance evidence, mapping it to control frameworks, or generating the OSCAL artifacts required for FedRAMP authorization packages.</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Without automated transformation, agencies rely on manual processes to interpret ScubaGear results, cross-reference them against NIST controls, and produce compliance documentation. This manual approach introduces human error, creates evidence that is neither machine-readable nor cryptographically verifiable, and cannot meet the continuous monitoring cadence required by BOD 25-01.</w:t>
      </w:r>
    </w:p>
    <w:p>
      <w:pPr>
        <w:spacing w:after="120"/>
      </w:pPr>
      <w:r>
        <w:rPr>
          <w:rFonts w:ascii="Arial" w:cs="Arial" w:eastAsia="Arial" w:hAnsi="Arial"/>
          <w:b/>
          <w:bCs/>
          <w:sz w:val="22"/>
          <w:szCs w:val="22"/>
        </w:rPr>
        <w:t xml:space="preserve">Who Is Affected. </w:t>
      </w:r>
      <w:r>
        <w:rPr>
          <w:rFonts w:ascii="Arial" w:cs="Arial" w:eastAsia="Arial" w:hAnsi="Arial"/>
          <w:sz w:val="22"/>
          <w:szCs w:val="22"/>
        </w:rPr>
        <w:t xml:space="preserve">Information System Security Officers (ISSOs), Authorizing Officials (AOs), compliance teams, and system administrators responsible for maintaining FedRAMP Moderate authorization for M365 tenants in GCC-Moderate environments.</w:t>
      </w:r>
    </w:p>
    <w:p>
      <w:pPr>
        <w:spacing w:after="120"/>
      </w:pPr>
      <w:r>
        <w:rPr>
          <w:rFonts w:ascii="Arial" w:cs="Arial" w:eastAsia="Arial" w:hAnsi="Arial"/>
          <w:b/>
          <w:bCs/>
          <w:sz w:val="22"/>
          <w:szCs w:val="22"/>
        </w:rPr>
        <w:t xml:space="preserve">What Constraints Apply. </w:t>
      </w:r>
      <w:r>
        <w:rPr>
          <w:rFonts w:ascii="Arial" w:cs="Arial" w:eastAsia="Arial" w:hAnsi="Arial"/>
          <w:sz w:val="22"/>
          <w:szCs w:val="22"/>
        </w:rPr>
        <w:t xml:space="preserve">All operations are scoped to GCC-Moderate (M365 SaaS only). No GCC-High, DoD, or Azure IaaS/PaaS services are referenced or required. Amazon Connect Contact Center is the sole Commercial Cloud exception. The pipeline enforces object identity only. All artifacts must validate against OSCAL 1.1.2 schemas. The SSOT is singular and certificate-anchored; adapters never mutate truth.</w:t>
      </w:r>
    </w:p>
    <w:p>
      <w:r>
        <w:br w:type="page"/>
      </w:r>
    </w:p>
    <w:p>
      <w:pPr>
        <w:pStyle w:val="Heading1"/>
        <w:spacing w:after="200" w:before="360"/>
      </w:pPr>
      <w:r>
        <w:rPr>
          <w:rFonts w:ascii="Arial" w:cs="Arial" w:eastAsia="Arial" w:hAnsi="Arial"/>
          <w:b/>
          <w:bCs/>
          <w:color w:val="2E75B6"/>
          <w:sz w:val="32"/>
          <w:szCs w:val="32"/>
        </w:rPr>
        <w:t xml:space="preserve">3. Architecture Overview</w:t>
      </w:r>
    </w:p>
    <w:p>
      <w:pPr>
        <w:spacing w:after="120"/>
      </w:pPr>
      <w:r>
        <w:rPr>
          <w:rFonts w:ascii="Arial" w:cs="Arial" w:eastAsia="Arial" w:hAnsi="Arial"/>
          <w:sz w:val="22"/>
          <w:szCs w:val="22"/>
        </w:rPr>
        <w:t xml:space="preserve">The UIAO SCuBA pipeline is a four-plane sequential architecture with clear separation of concerns. Each plane is independently testable, deterministic, and produces artifacts that feed the next plane in sequence. The pipeline wraps CISA’s ScubaGear assessment tool inside a provenance-first governance envelope.</w:t>
      </w:r>
    </w:p>
    <w:p>
      <w:pPr>
        <w:pBdr>
          <w:top w:val="single" w:color="2E75B6" w:sz="1"/>
          <w:left w:val="single" w:color="2E75B6" w:sz="1"/>
          <w:bottom w:val="single" w:color="2E75B6" w:sz="1"/>
          <w:right w:val="single" w:color="2E75B6" w:sz="1"/>
        </w:pBdr>
        <w:spacing w:after="120" w:before="120"/>
      </w:pPr>
      <w:r>
        <w:rPr>
          <w:rFonts w:ascii="Arial" w:cs="Arial" w:eastAsia="Arial" w:hAnsi="Arial"/>
        </w:rPr>
        <w:drawing>
          <wp:inline distT="0" distB="0" distL="0" distR="0">
            <wp:extent cx="4572000" cy="4572000"/>
            <wp:effectExtent l="0" t="0" r="0" b="0"/>
            <wp:docPr id="1" name="image1.png" descr="SCuBA four-plane pipeline architecture flow diagram"/>
            <wp:cNvGraphicFramePr>
              <a:graphicFrameLocks noChangeAspect="1"/>
            </wp:cNvGraphicFramePr>
            <a:graphic>
              <a:graphicData uri="http://schemas.openxmlformats.org/drawingml/2006/picture">
                <pic:pic>
                  <pic:nvPicPr>
                    <pic:cNvPr id="1" name="image1.png" descr="SCuBA four-plane pipeline architecture flow diagram"/>
                    <pic:cNvPicPr/>
                  </pic:nvPicPr>
                  <pic:blipFill>
                    <a:blip r:embed="rId10"/>
                    <a:stretch>
                      <a:fillRect/>
                    </a:stretch>
                  </pic:blipFill>
                  <pic:spPr>
                    <a:xfrm>
                      <a:off x="0" y="0"/>
                      <a:ext cx="4572000" cy="4572000"/>
                    </a:xfrm>
                    <a:prstGeom prst="rect">
                      <a:avLst/>
                    </a:prstGeom>
                  </pic:spPr>
                </pic:pic>
              </a:graphicData>
            </a:graphic>
          </wp:inline>
        </w:drawing>
      </w:r>
    </w:p>
    <w:p>
      <w:pPr>
        <w:spacing w:after="120"/>
      </w:pPr>
      <w:r>
        <w:rPr>
          <w:rFonts w:ascii="Arial" w:cs="Arial" w:eastAsia="Arial" w:hAnsi="Arial"/>
          <w:b/>
          <w:bCs/>
          <w:sz w:val="22"/>
          <w:szCs w:val="22"/>
        </w:rPr>
        <w:t xml:space="preserve">Boundary Model. </w:t>
      </w:r>
      <w:r>
        <w:rPr>
          <w:rFonts w:ascii="Arial" w:cs="Arial" w:eastAsia="Arial" w:hAnsi="Arial"/>
          <w:sz w:val="22"/>
          <w:szCs w:val="22"/>
        </w:rPr>
        <w:t xml:space="preserve">The pipeline operates within the GCC-Moderate tenant boundary. ScubaGear connects to M365 services via PowerShell. All pipeline processing occurs within the UIAO-Core runtime. No data leaves the tenant boundary during processing.</w:t>
      </w:r>
    </w:p>
    <w:p>
      <w:pPr>
        <w:spacing w:after="120"/>
      </w:pPr>
      <w:r>
        <w:rPr>
          <w:rFonts w:ascii="Arial" w:cs="Arial" w:eastAsia="Arial" w:hAnsi="Arial"/>
          <w:b/>
          <w:bCs/>
          <w:sz w:val="22"/>
          <w:szCs w:val="22"/>
        </w:rPr>
        <w:t xml:space="preserve">Identity Model. </w:t>
      </w:r>
      <w:r>
        <w:rPr>
          <w:rFonts w:ascii="Arial" w:cs="Arial" w:eastAsia="Arial" w:hAnsi="Arial"/>
          <w:sz w:val="22"/>
          <w:szCs w:val="22"/>
        </w:rPr>
        <w:t xml:space="preserve">Object identity only. Every artifact, evidence item, and pipeline run carries a deterministic identity derived from its content hash. No person identity is stored. Certificate-anchored provenance ensures every transaction is traceable.</w:t>
      </w:r>
    </w:p>
    <w:p>
      <w:pPr>
        <w:spacing w:after="120"/>
      </w:pPr>
      <w:r>
        <w:rPr>
          <w:rFonts w:ascii="Arial" w:cs="Arial" w:eastAsia="Arial" w:hAnsi="Arial"/>
          <w:b/>
          <w:bCs/>
          <w:sz w:val="22"/>
          <w:szCs w:val="22"/>
        </w:rPr>
        <w:t xml:space="preserve">SSOT Role. </w:t>
      </w:r>
      <w:r>
        <w:rPr>
          <w:rFonts w:ascii="Arial" w:cs="Arial" w:eastAsia="Arial" w:hAnsi="Arial"/>
          <w:sz w:val="22"/>
          <w:szCs w:val="22"/>
        </w:rPr>
        <w:t xml:space="preserve">The canonical policy-to-control mapping (SCUBA_TO_KSI_MAP) is the single source of truth for all SCuBA-to-NIST control relationships. Adapters serve SSOT + Identity + Security and never mutate truth.</w:t>
      </w:r>
    </w:p>
    <w:p>
      <w:pPr>
        <w:spacing w:after="120"/>
      </w:pPr>
      <w:r>
        <w:rPr>
          <w:rFonts w:ascii="Arial" w:cs="Arial" w:eastAsia="Arial" w:hAnsi="Arial"/>
          <w:b/>
          <w:bCs/>
          <w:sz w:val="22"/>
          <w:szCs w:val="22"/>
        </w:rPr>
        <w:t xml:space="preserve">Adapter Classes. </w:t>
      </w:r>
      <w:r>
        <w:rPr>
          <w:rFonts w:ascii="Arial" w:cs="Arial" w:eastAsia="Arial" w:hAnsi="Arial"/>
          <w:sz w:val="22"/>
          <w:szCs w:val="22"/>
        </w:rPr>
        <w:t xml:space="preserve">The ScubaAdapter implements the DatabaseAdapterBase abstract class, providing five interface methods: connect, discover_schema, execute_query, normalize, and detect_drift. Adapters are plural in class but singular in mission.</w:t>
      </w:r>
    </w:p>
    <w:p>
      <w:pPr>
        <w:pBdr>
          <w:top w:val="single" w:color="2E75B6" w:sz="1"/>
          <w:left w:val="single" w:color="2E75B6" w:sz="1"/>
          <w:bottom w:val="single" w:color="2E75B6" w:sz="1"/>
          <w:right w:val="single" w:color="2E75B6" w:sz="1"/>
        </w:pBdr>
        <w:spacing w:after="120" w:before="120"/>
      </w:pPr>
      <w:r>
        <w:rPr>
          <w:rFonts w:ascii="Arial" w:cs="Arial" w:eastAsia="Arial" w:hAnsi="Arial"/>
        </w:rPr>
        <w:drawing>
          <wp:inline distT="0" distB="0" distL="0" distR="0">
            <wp:extent cx="4572000" cy="4572000"/>
            <wp:effectExtent l="0" t="0" r="0" b="0"/>
            <wp:docPr id="2" name="image2.png" descr="Module dependency architecture showing foundation, core, analysis, and output layers"/>
            <wp:cNvGraphicFramePr>
              <a:graphicFrameLocks noChangeAspect="1"/>
            </wp:cNvGraphicFramePr>
            <a:graphic>
              <a:graphicData uri="http://schemas.openxmlformats.org/drawingml/2006/picture">
                <pic:pic>
                  <pic:nvPicPr>
                    <pic:cNvPr id="2" name="image2.png" descr="Module dependency architecture showing foundation, core, analysis, and output layers"/>
                    <pic:cNvPicPr/>
                  </pic:nvPicPr>
                  <pic:blipFill>
                    <a:blip r:embed="rId11"/>
                    <a:stretch>
                      <a:fillRect/>
                    </a:stretch>
                  </pic:blipFill>
                  <pic:spPr>
                    <a:xfrm>
                      <a:off x="0" y="0"/>
                      <a:ext cx="4572000" cy="4572000"/>
                    </a:xfrm>
                    <a:prstGeom prst="rect">
                      <a:avLst/>
                    </a:prstGeom>
                  </pic:spPr>
                </pic:pic>
              </a:graphicData>
            </a:graphic>
          </wp:inline>
        </w:drawing>
      </w:r>
    </w:p>
    <w:p>
      <w:r>
        <w:br w:type="page"/>
      </w:r>
    </w:p>
    <w:p>
      <w:pPr>
        <w:pStyle w:val="Heading1"/>
        <w:spacing w:after="200" w:before="360"/>
      </w:pPr>
      <w:r>
        <w:rPr>
          <w:rFonts w:ascii="Arial" w:cs="Arial" w:eastAsia="Arial" w:hAnsi="Arial"/>
          <w:b/>
          <w:bCs/>
          <w:color w:val="2E75B6"/>
          <w:sz w:val="32"/>
          <w:szCs w:val="32"/>
        </w:rPr>
        <w:t xml:space="preserve">4. Detailed Sections</w:t>
      </w:r>
    </w:p>
    <w:p>
      <w:pPr>
        <w:pStyle w:val="Heading2"/>
        <w:spacing w:after="160" w:before="280"/>
      </w:pPr>
      <w:r>
        <w:rPr>
          <w:rFonts w:ascii="Arial" w:cs="Arial" w:eastAsia="Arial" w:hAnsi="Arial"/>
          <w:b/>
          <w:bCs/>
          <w:color w:val="2E75B6"/>
          <w:sz w:val="28"/>
          <w:szCs w:val="28"/>
        </w:rPr>
        <w:t xml:space="preserve">4.1 Three-Hop Mapping Chain</w:t>
      </w:r>
    </w:p>
    <w:p>
      <w:pPr>
        <w:spacing w:after="120"/>
      </w:pPr>
      <w:r>
        <w:rPr>
          <w:rFonts w:ascii="Arial" w:cs="Arial" w:eastAsia="Arial" w:hAnsi="Arial"/>
          <w:sz w:val="22"/>
          <w:szCs w:val="22"/>
        </w:rPr>
        <w:t xml:space="preserve">The core data transformation follows a deterministic three-hop mapping chain that resolves raw ScubaGear policy identifiers to UIAO Key Security Indicators.</w:t>
      </w:r>
    </w:p>
    <w:p>
      <w:pPr>
        <w:spacing w:after="120"/>
      </w:pPr>
      <w:r>
        <w:rPr>
          <w:rFonts w:ascii="Arial" w:cs="Arial" w:eastAsia="Arial" w:hAnsi="Arial"/>
          <w:b/>
          <w:bCs/>
          <w:sz w:val="22"/>
          <w:szCs w:val="22"/>
        </w:rPr>
        <w:t xml:space="preserve">Hop 1: PolicyId → NIST SP 800-53 Control. </w:t>
      </w:r>
      <w:r>
        <w:rPr>
          <w:rFonts w:ascii="Arial" w:cs="Arial" w:eastAsia="Arial" w:hAnsi="Arial"/>
          <w:sz w:val="22"/>
          <w:szCs w:val="22"/>
        </w:rPr>
        <w:t xml:space="preserve">The SCUBA_TO_KSI_MAP dictionary maps 143 ScubaGear policy identifiers to their corresponding NIST SP 800-53 Rev 5 control identifiers. This mapping is static and version-locked to ScubaGear policy versions.</w:t>
      </w:r>
    </w:p>
    <w:p>
      <w:pPr>
        <w:spacing w:after="120"/>
      </w:pPr>
      <w:r>
        <w:rPr>
          <w:rFonts w:ascii="Arial" w:cs="Arial" w:eastAsia="Arial" w:hAnsi="Arial"/>
          <w:b/>
          <w:bCs/>
          <w:sz w:val="22"/>
          <w:szCs w:val="22"/>
        </w:rPr>
        <w:t xml:space="preserve">Hop 2: NIST Control → KSI Metadata. </w:t>
      </w:r>
      <w:r>
        <w:rPr>
          <w:rFonts w:ascii="Arial" w:cs="Arial" w:eastAsia="Arial" w:hAnsi="Arial"/>
          <w:sz w:val="22"/>
          <w:szCs w:val="22"/>
        </w:rPr>
        <w:t xml:space="preserve">The uiao-control-to-ksi-mapping.yaml file maps all 247 NIST SP 800-53 Rev 5 controls to 163 KSI identifiers with severity, category, and file references.</w:t>
      </w:r>
    </w:p>
    <w:p>
      <w:pPr>
        <w:spacing w:after="120"/>
      </w:pPr>
      <w:r>
        <w:rPr>
          <w:rFonts w:ascii="Arial" w:cs="Arial" w:eastAsia="Arial" w:hAnsi="Arial"/>
          <w:b/>
          <w:bCs/>
          <w:sz w:val="22"/>
          <w:szCs w:val="22"/>
        </w:rPr>
        <w:t xml:space="preserve">Hop 3: KSI → Compliance Evaluation. </w:t>
      </w:r>
      <w:r>
        <w:rPr>
          <w:rFonts w:ascii="Arial" w:cs="Arial" w:eastAsia="Arial" w:hAnsi="Arial"/>
          <w:sz w:val="22"/>
          <w:szCs w:val="22"/>
        </w:rPr>
        <w:t xml:space="preserve">The KSI evaluation engine produces pass/fail/warn determinations per control. When multiple policies map to the same KSI, the aggregation is conservative: if ANY constituent policy fails, the KSI fails.</w:t>
      </w:r>
    </w:p>
    <w:p>
      <w:pPr>
        <w:pBdr>
          <w:top w:val="single" w:color="2E75B6" w:sz="1"/>
          <w:left w:val="single" w:color="2E75B6" w:sz="1"/>
          <w:bottom w:val="single" w:color="2E75B6" w:sz="1"/>
          <w:right w:val="single" w:color="2E75B6" w:sz="1"/>
        </w:pBdr>
        <w:spacing w:after="120" w:before="120"/>
      </w:pPr>
      <w:r>
        <w:rPr>
          <w:rFonts w:ascii="Arial" w:cs="Arial" w:eastAsia="Arial" w:hAnsi="Arial"/>
        </w:rPr>
        <w:drawing>
          <wp:inline distT="0" distB="0" distL="0" distR="0">
            <wp:extent cx="4572000" cy="4572000"/>
            <wp:effectExtent l="0" t="0" r="0" b="0"/>
            <wp:docPr id="3" name="image3.png" descr="Three-hop mapping chain from 143 policies to 247 controls to 163 KSIs"/>
            <wp:cNvGraphicFramePr>
              <a:graphicFrameLocks noChangeAspect="1"/>
            </wp:cNvGraphicFramePr>
            <a:graphic>
              <a:graphicData uri="http://schemas.openxmlformats.org/drawingml/2006/picture">
                <pic:pic>
                  <pic:nvPicPr>
                    <pic:cNvPr id="3" name="image3.png" descr="Three-hop mapping chain from 143 policies to 247 controls to 163 KSIs"/>
                    <pic:cNvPicPr/>
                  </pic:nvPicPr>
                  <pic:blipFill>
                    <a:blip r:embed="rId12"/>
                    <a:stretch>
                      <a:fillRect/>
                    </a:stretch>
                  </pic:blipFill>
                  <pic:spPr>
                    <a:xfrm>
                      <a:off x="0" y="0"/>
                      <a:ext cx="4572000" cy="4572000"/>
                    </a:xfrm>
                    <a:prstGeom prst="rect">
                      <a:avLst/>
                    </a:prstGeom>
                  </pic:spPr>
                </pic:pic>
              </a:graphicData>
            </a:graphic>
          </wp:inline>
        </w:drawing>
      </w:r>
    </w:p>
    <w:p>
      <w:pPr>
        <w:spacing w:before="200"/>
      </w:pPr>
      <w:r>
        <w:rPr>
          <w:rFonts w:ascii="Arial" w:cs="Arial" w:eastAsia="Arial" w:hAnsi="Arial"/>
          <w:b/>
          <w:bCs/>
          <w:color w:val="2E75B6"/>
          <w:sz w:val="22"/>
          <w:szCs w:val="22"/>
        </w:rPr>
        <w:t xml:space="preserve">Table 1: Policy Distribution by M365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2200"/>
        <w:gridCol w:w="19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Prefix</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Families</w:t>
            </w:r>
          </w:p>
        </w:tc>
        <w:tc>
          <w:tcPr>
            <w:tcW w:type="dxa" w:w="1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KSI Categories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Entra 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 AC, AU, CM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iam, boundary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Exchange Online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MS.EXO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 SI</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 config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SharePoint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 AU, SC, MP</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 iam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 AU, SI</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 iam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 Platform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 CM</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 BI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 SC, MP, AU, CM, SI</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 config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Suite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 IR, CM, SC, MP, AC, AU, IA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categories</w:t>
            </w:r>
          </w:p>
        </w:tc>
      </w:tr>
    </w:tbl>
    <w:p>
      <w:r>
        <w:br w:type="page"/>
      </w:r>
    </w:p>
    <w:p>
      <w:pPr>
        <w:pStyle w:val="Heading2"/>
        <w:spacing w:after="160" w:before="280"/>
      </w:pPr>
      <w:r>
        <w:rPr>
          <w:rFonts w:ascii="Arial" w:cs="Arial" w:eastAsia="Arial" w:hAnsi="Arial"/>
          <w:b/>
          <w:bCs/>
          <w:color w:val="2E75B6"/>
          <w:sz w:val="28"/>
          <w:szCs w:val="28"/>
        </w:rPr>
        <w:t xml:space="preserve">4.2 Plane 1 — SCuBA to IR Transform</w:t>
      </w:r>
    </w:p>
    <w:p>
      <w:pPr>
        <w:spacing w:after="120"/>
      </w:pPr>
      <w:r>
        <w:rPr>
          <w:rFonts w:ascii="Arial" w:cs="Arial" w:eastAsia="Arial" w:hAnsi="Arial"/>
          <w:b/>
          <w:bCs/>
          <w:sz w:val="22"/>
          <w:szCs w:val="22"/>
        </w:rPr>
        <w:t xml:space="preserve">Module: </w:t>
      </w:r>
      <w:r>
        <w:rPr>
          <w:rFonts w:ascii="Arial" w:cs="Arial" w:eastAsia="Arial" w:hAnsi="Arial"/>
          <w:sz w:val="22"/>
          <w:szCs w:val="22"/>
        </w:rPr>
        <w:t xml:space="preserve">src/uiao_core/ir/adapters/scuba/transformer.py</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Normalized SCuBA JSON conforming to scuba-normalized.schema.json.</w:t>
      </w:r>
    </w:p>
    <w:p>
      <w:pPr>
        <w:spacing w:after="120"/>
      </w:pPr>
      <w:r>
        <w:rPr>
          <w:rFonts w:ascii="Arial" w:cs="Arial" w:eastAsia="Arial" w:hAnsi="Arial"/>
          <w:sz w:val="22"/>
          <w:szCs w:val="22"/>
        </w:rPr>
        <w:t xml:space="preserve">The transformer loads the normalized JSON, builds the full KSI-to-IR mapping, and converts each ksi_results entry into an Evidence object with deterministic identity (evidence:scuba:{tenant_id}:{run_id}:{ksi_id}), source reference, control and policy cross-references, evaluation data, and ProvenanceRecord.</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SCuBATransformResult containing controls, policies, evidence list, pass/warn/fail counts, and unmapped KSI IDs. Serialized to IR envelope JSON.</w:t>
      </w:r>
    </w:p>
    <w:p>
      <w:pPr>
        <w:spacing w:after="120"/>
      </w:pPr>
      <w:r>
        <w:rPr>
          <w:rFonts w:ascii="Arial" w:cs="Arial" w:eastAsia="Arial" w:hAnsi="Arial"/>
          <w:b/>
          <w:bCs/>
          <w:sz w:val="22"/>
          <w:szCs w:val="22"/>
        </w:rPr>
        <w:t xml:space="preserve">Key Guarantee: </w:t>
      </w:r>
      <w:r>
        <w:rPr>
          <w:rFonts w:ascii="Arial" w:cs="Arial" w:eastAsia="Arial" w:hAnsi="Arial"/>
          <w:sz w:val="22"/>
          <w:szCs w:val="22"/>
        </w:rPr>
        <w:t xml:space="preserve">Deterministic — same input always produces identical IR. Canonical hash excludes volatile fields.</w:t>
      </w:r>
    </w:p>
    <w:p>
      <w:pPr>
        <w:spacing w:after="120"/>
      </w:pPr>
      <w:r>
        <w:rPr>
          <w:rFonts w:ascii="Arial" w:cs="Arial" w:eastAsia="Arial" w:hAnsi="Arial"/>
          <w:b/>
          <w:bCs/>
          <w:sz w:val="22"/>
          <w:szCs w:val="22"/>
        </w:rPr>
        <w:t xml:space="preserve">CLI: </w:t>
      </w:r>
      <w:r>
        <w:rPr>
          <w:rFonts w:ascii="Arial" w:cs="Arial" w:eastAsia="Arial" w:hAnsi="Arial"/>
          <w:sz w:val="22"/>
          <w:szCs w:val="22"/>
        </w:rPr>
        <w:t xml:space="preserve">uiao scuba transform --input &lt;path&gt;</w:t>
      </w:r>
    </w:p>
    <w:p>
      <w:pPr>
        <w:pStyle w:val="Heading2"/>
        <w:spacing w:after="160" w:before="280"/>
      </w:pPr>
      <w:r>
        <w:rPr>
          <w:rFonts w:ascii="Arial" w:cs="Arial" w:eastAsia="Arial" w:hAnsi="Arial"/>
          <w:b/>
          <w:bCs/>
          <w:color w:val="2E75B6"/>
          <w:sz w:val="28"/>
          <w:szCs w:val="28"/>
        </w:rPr>
        <w:t xml:space="preserve">4.3 Plane 2 — IR to KSI Evaluation</w:t>
      </w:r>
    </w:p>
    <w:p>
      <w:pPr>
        <w:spacing w:after="120"/>
      </w:pPr>
      <w:r>
        <w:rPr>
          <w:rFonts w:ascii="Arial" w:cs="Arial" w:eastAsia="Arial" w:hAnsi="Arial"/>
          <w:b/>
          <w:bCs/>
          <w:sz w:val="22"/>
          <w:szCs w:val="22"/>
        </w:rPr>
        <w:t xml:space="preserve">Module: </w:t>
      </w:r>
      <w:r>
        <w:rPr>
          <w:rFonts w:ascii="Arial" w:cs="Arial" w:eastAsia="Arial" w:hAnsi="Arial"/>
          <w:sz w:val="22"/>
          <w:szCs w:val="22"/>
        </w:rPr>
        <w:t xml:space="preserve">src/uiao_core/ksi/evaluate.py</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IR envelope from Plane 1, plus KSI control library (YAML).</w:t>
      </w:r>
    </w:p>
    <w:p>
      <w:pPr>
        <w:spacing w:after="120"/>
      </w:pPr>
      <w:r>
        <w:rPr>
          <w:rFonts w:ascii="Arial" w:cs="Arial" w:eastAsia="Arial" w:hAnsi="Arial"/>
          <w:sz w:val="22"/>
          <w:szCs w:val="22"/>
        </w:rPr>
        <w:t xml:space="preserve">The evaluation engine loads control library definitions, maps normalized claims to NIST 800-53 controls, evaluates pass/fail per requirement, and generates structured evaluation results.</w:t>
      </w:r>
    </w:p>
    <w:p>
      <w:pPr>
        <w:spacing w:after="120"/>
      </w:pPr>
      <w:r>
        <w:rPr>
          <w:rFonts w:ascii="Arial" w:cs="Arial" w:eastAsia="Arial" w:hAnsi="Arial"/>
          <w:b/>
          <w:bCs/>
          <w:sz w:val="22"/>
          <w:szCs w:val="22"/>
        </w:rPr>
        <w:t xml:space="preserve">Key Guarantee: </w:t>
      </w:r>
      <w:r>
        <w:rPr>
          <w:rFonts w:ascii="Arial" w:cs="Arial" w:eastAsia="Arial" w:hAnsi="Arial"/>
          <w:sz w:val="22"/>
          <w:szCs w:val="22"/>
        </w:rPr>
        <w:t xml:space="preserve">Every claim maps to exactly one control; no orphans silently discarded.</w:t>
      </w:r>
    </w:p>
    <w:p>
      <w:pPr>
        <w:spacing w:after="120"/>
      </w:pPr>
      <w:r>
        <w:rPr>
          <w:rFonts w:ascii="Arial" w:cs="Arial" w:eastAsia="Arial" w:hAnsi="Arial"/>
          <w:b/>
          <w:bCs/>
          <w:sz w:val="22"/>
          <w:szCs w:val="22"/>
        </w:rPr>
        <w:t xml:space="preserve">CLI: </w:t>
      </w:r>
      <w:r>
        <w:rPr>
          <w:rFonts w:ascii="Arial" w:cs="Arial" w:eastAsia="Arial" w:hAnsi="Arial"/>
          <w:sz w:val="22"/>
          <w:szCs w:val="22"/>
        </w:rPr>
        <w:t xml:space="preserve">uiao ksi evaluate --ir &lt;path&gt;</w:t>
      </w:r>
    </w:p>
    <w:p>
      <w:pPr>
        <w:pStyle w:val="Heading2"/>
        <w:spacing w:after="160" w:before="280"/>
      </w:pPr>
      <w:r>
        <w:rPr>
          <w:rFonts w:ascii="Arial" w:cs="Arial" w:eastAsia="Arial" w:hAnsi="Arial"/>
          <w:b/>
          <w:bCs/>
          <w:color w:val="2E75B6"/>
          <w:sz w:val="28"/>
          <w:szCs w:val="28"/>
        </w:rPr>
        <w:t xml:space="preserve">4.4 Plane 3 — Evidence Build</w:t>
      </w:r>
    </w:p>
    <w:p>
      <w:pPr>
        <w:spacing w:after="120"/>
      </w:pPr>
      <w:r>
        <w:rPr>
          <w:rFonts w:ascii="Arial" w:cs="Arial" w:eastAsia="Arial" w:hAnsi="Arial"/>
          <w:b/>
          <w:bCs/>
          <w:sz w:val="22"/>
          <w:szCs w:val="22"/>
        </w:rPr>
        <w:t xml:space="preserve">Module: </w:t>
      </w:r>
      <w:r>
        <w:rPr>
          <w:rFonts w:ascii="Arial" w:cs="Arial" w:eastAsia="Arial" w:hAnsi="Arial"/>
          <w:sz w:val="22"/>
          <w:szCs w:val="22"/>
        </w:rPr>
        <w:t xml:space="preserve">src/uiao_core/evidence/</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KSI evaluation results from Plane 2.</w:t>
      </w:r>
    </w:p>
    <w:p>
      <w:pPr>
        <w:spacing w:after="120"/>
      </w:pPr>
      <w:r>
        <w:rPr>
          <w:rFonts w:ascii="Arial" w:cs="Arial" w:eastAsia="Arial" w:hAnsi="Arial"/>
          <w:sz w:val="22"/>
          <w:szCs w:val="22"/>
        </w:rPr>
        <w:t xml:space="preserve">Collects evaluation results into evidence items, builds evidence bundle with metadata, signs with HMAC-SHA256, and calculates stable hash excluding volatile fields.</w:t>
      </w:r>
    </w:p>
    <w:p>
      <w:pPr>
        <w:spacing w:after="120"/>
      </w:pPr>
      <w:r>
        <w:rPr>
          <w:rFonts w:ascii="Arial" w:cs="Arial" w:eastAsia="Arial" w:hAnsi="Arial"/>
          <w:b/>
          <w:bCs/>
          <w:sz w:val="22"/>
          <w:szCs w:val="22"/>
        </w:rPr>
        <w:t xml:space="preserve">Key Guarantee: </w:t>
      </w:r>
      <w:r>
        <w:rPr>
          <w:rFonts w:ascii="Arial" w:cs="Arial" w:eastAsia="Arial" w:hAnsi="Arial"/>
          <w:sz w:val="22"/>
          <w:szCs w:val="22"/>
        </w:rPr>
        <w:t xml:space="preserve">Tamper-evident — any modification invalidates the HMAC signature.</w:t>
      </w:r>
    </w:p>
    <w:p>
      <w:pPr>
        <w:spacing w:after="120"/>
      </w:pPr>
      <w:r>
        <w:rPr>
          <w:rFonts w:ascii="Arial" w:cs="Arial" w:eastAsia="Arial" w:hAnsi="Arial"/>
          <w:b/>
          <w:bCs/>
          <w:sz w:val="22"/>
          <w:szCs w:val="22"/>
        </w:rPr>
        <w:t xml:space="preserve">CLI: </w:t>
      </w:r>
      <w:r>
        <w:rPr>
          <w:rFonts w:ascii="Arial" w:cs="Arial" w:eastAsia="Arial" w:hAnsi="Arial"/>
          <w:sz w:val="22"/>
          <w:szCs w:val="22"/>
        </w:rPr>
        <w:t xml:space="preserve">uiao evidence build --eval &lt;path&gt;</w:t>
      </w:r>
    </w:p>
    <w:p>
      <w:pPr>
        <w:pStyle w:val="Heading2"/>
        <w:spacing w:after="160" w:before="280"/>
      </w:pPr>
      <w:r>
        <w:rPr>
          <w:rFonts w:ascii="Arial" w:cs="Arial" w:eastAsia="Arial" w:hAnsi="Arial"/>
          <w:b/>
          <w:bCs/>
          <w:color w:val="2E75B6"/>
          <w:sz w:val="28"/>
          <w:szCs w:val="28"/>
        </w:rPr>
        <w:t xml:space="preserve">4.5 Plane 4 — OSCAL Generate</w:t>
      </w:r>
    </w:p>
    <w:p>
      <w:pPr>
        <w:spacing w:after="120"/>
      </w:pPr>
      <w:r>
        <w:rPr>
          <w:rFonts w:ascii="Arial" w:cs="Arial" w:eastAsia="Arial" w:hAnsi="Arial"/>
          <w:b/>
          <w:bCs/>
          <w:sz w:val="22"/>
          <w:szCs w:val="22"/>
        </w:rPr>
        <w:t xml:space="preserve">Module: </w:t>
      </w:r>
      <w:r>
        <w:rPr>
          <w:rFonts w:ascii="Arial" w:cs="Arial" w:eastAsia="Arial" w:hAnsi="Arial"/>
          <w:sz w:val="22"/>
          <w:szCs w:val="22"/>
        </w:rPr>
        <w:t xml:space="preserve">src/uiao_core/oscal/</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Signed evidence bundle from Plane 3.</w:t>
      </w:r>
    </w:p>
    <w:p>
      <w:pPr>
        <w:spacing w:after="120"/>
      </w:pPr>
      <w:r>
        <w:rPr>
          <w:rFonts w:ascii="Arial" w:cs="Arial" w:eastAsia="Arial" w:hAnsi="Arial"/>
          <w:sz w:val="22"/>
          <w:szCs w:val="22"/>
        </w:rPr>
        <w:t xml:space="preserve">Generates OSCAL 1.1.2-compliant SSP, POA&amp;M, and SAR. Exports SSP narrative and lineage traces for human-readable audit trails. Lineage traces every OSCAL statement back through the evidence chain to the original ScubaGear scan.</w:t>
      </w:r>
    </w:p>
    <w:p>
      <w:pPr>
        <w:spacing w:after="120"/>
      </w:pPr>
      <w:r>
        <w:rPr>
          <w:rFonts w:ascii="Arial" w:cs="Arial" w:eastAsia="Arial" w:hAnsi="Arial"/>
          <w:b/>
          <w:bCs/>
          <w:sz w:val="22"/>
          <w:szCs w:val="22"/>
        </w:rPr>
        <w:t xml:space="preserve">Key Guarantee: </w:t>
      </w:r>
      <w:r>
        <w:rPr>
          <w:rFonts w:ascii="Arial" w:cs="Arial" w:eastAsia="Arial" w:hAnsi="Arial"/>
          <w:sz w:val="22"/>
          <w:szCs w:val="22"/>
        </w:rPr>
        <w:t xml:space="preserve">Schema-valid OSCAL 1.1.2 output with full lineage traceability.</w:t>
      </w:r>
    </w:p>
    <w:p>
      <w:pPr>
        <w:spacing w:after="120"/>
      </w:pPr>
      <w:r>
        <w:rPr>
          <w:rFonts w:ascii="Arial" w:cs="Arial" w:eastAsia="Arial" w:hAnsi="Arial"/>
          <w:b/>
          <w:bCs/>
          <w:sz w:val="22"/>
          <w:szCs w:val="22"/>
        </w:rPr>
        <w:t xml:space="preserve">CLI: </w:t>
      </w:r>
      <w:r>
        <w:rPr>
          <w:rFonts w:ascii="Arial" w:cs="Arial" w:eastAsia="Arial" w:hAnsi="Arial"/>
          <w:sz w:val="22"/>
          <w:szCs w:val="22"/>
        </w:rPr>
        <w:t xml:space="preserve">uiao oscal generate --evidence &lt;path&gt;</w:t>
      </w:r>
    </w:p>
    <w:p>
      <w:pPr>
        <w:pBdr>
          <w:top w:val="single" w:color="2E75B6" w:sz="1"/>
          <w:left w:val="single" w:color="2E75B6" w:sz="1"/>
          <w:bottom w:val="single" w:color="2E75B6" w:sz="1"/>
          <w:right w:val="single" w:color="2E75B6" w:sz="1"/>
        </w:pBdr>
        <w:spacing w:after="120" w:before="120"/>
      </w:pPr>
      <w:r>
        <w:rPr>
          <w:rFonts w:ascii="Arial" w:cs="Arial" w:eastAsia="Arial" w:hAnsi="Arial"/>
        </w:rPr>
        <w:drawing>
          <wp:inline distT="0" distB="0" distL="0" distR="0">
            <wp:extent cx="4572000" cy="4572000"/>
            <wp:effectExtent l="0" t="0" r="0" b="0"/>
            <wp:docPr id="4" name="image4.png" descr="Evidence integrity chain from ScubaGear scan through OSCAL output"/>
            <wp:cNvGraphicFramePr>
              <a:graphicFrameLocks noChangeAspect="1"/>
            </wp:cNvGraphicFramePr>
            <a:graphic>
              <a:graphicData uri="http://schemas.openxmlformats.org/drawingml/2006/picture">
                <pic:pic>
                  <pic:nvPicPr>
                    <pic:cNvPr id="4" name="image4.png" descr="Evidence integrity chain from ScubaGear scan through OSCAL output"/>
                    <pic:cNvPicPr/>
                  </pic:nvPicPr>
                  <pic:blipFill>
                    <a:blip r:embed="rId13"/>
                    <a:stretch>
                      <a:fillRect/>
                    </a:stretch>
                  </pic:blipFill>
                  <pic:spPr>
                    <a:xfrm>
                      <a:off x="0" y="0"/>
                      <a:ext cx="4572000" cy="4572000"/>
                    </a:xfrm>
                    <a:prstGeom prst="rect">
                      <a:avLst/>
                    </a:prstGeom>
                  </pic:spPr>
                </pic:pic>
              </a:graphicData>
            </a:graphic>
          </wp:inline>
        </w:drawing>
      </w:r>
    </w:p>
    <w:p>
      <w:r>
        <w:br w:type="page"/>
      </w:r>
    </w:p>
    <w:p>
      <w:pPr>
        <w:pStyle w:val="Heading2"/>
        <w:spacing w:after="160" w:before="280"/>
      </w:pPr>
      <w:r>
        <w:rPr>
          <w:rFonts w:ascii="Arial" w:cs="Arial" w:eastAsia="Arial" w:hAnsi="Arial"/>
          <w:b/>
          <w:bCs/>
          <w:color w:val="2E75B6"/>
          <w:sz w:val="28"/>
          <w:szCs w:val="28"/>
        </w:rPr>
        <w:t xml:space="preserve">4.6 Normalization Engine</w:t>
      </w:r>
    </w:p>
    <w:p>
      <w:pPr>
        <w:spacing w:after="120"/>
      </w:pPr>
      <w:r>
        <w:rPr>
          <w:rFonts w:ascii="Arial" w:cs="Arial" w:eastAsia="Arial" w:hAnsi="Arial"/>
          <w:b/>
          <w:bCs/>
          <w:sz w:val="22"/>
          <w:szCs w:val="22"/>
        </w:rPr>
        <w:t xml:space="preserve">Module: </w:t>
      </w:r>
      <w:r>
        <w:rPr>
          <w:rFonts w:ascii="Arial" w:cs="Arial" w:eastAsia="Arial" w:hAnsi="Arial"/>
          <w:sz w:val="22"/>
          <w:szCs w:val="22"/>
        </w:rPr>
        <w:t xml:space="preserve">src/uiao_core/ir/adapters/scuba/normalize_scuba.py</w:t>
      </w:r>
    </w:p>
    <w:p>
      <w:pPr>
        <w:spacing w:after="120"/>
      </w:pPr>
      <w:r>
        <w:rPr>
          <w:rFonts w:ascii="Arial" w:cs="Arial" w:eastAsia="Arial" w:hAnsi="Arial"/>
          <w:sz w:val="22"/>
          <w:szCs w:val="22"/>
        </w:rPr>
        <w:t xml:space="preserve">Converts raw ScubaGear output into pipeline-ready format. Handles two formats: combined ScubaResults.json (TestResults array) and per-product MS.*.json files.</w:t>
      </w:r>
    </w:p>
    <w:p>
      <w:pPr>
        <w:spacing w:after="120"/>
      </w:pPr>
      <w:r>
        <w:rPr>
          <w:rFonts w:ascii="Arial" w:cs="Arial" w:eastAsia="Arial" w:hAnsi="Arial"/>
          <w:b/>
          <w:bCs/>
          <w:sz w:val="22"/>
          <w:szCs w:val="22"/>
        </w:rPr>
        <w:t xml:space="preserve">Input Discovery: </w:t>
      </w:r>
      <w:r>
        <w:rPr>
          <w:rFonts w:ascii="Arial" w:cs="Arial" w:eastAsia="Arial" w:hAnsi="Arial"/>
          <w:sz w:val="22"/>
          <w:szCs w:val="22"/>
        </w:rPr>
        <w:t xml:space="preserve">Hierarchical search: direct file, directory with ScubaResults.json, directory with MS.*.json, nested date-stamped subdirectories.</w:t>
      </w:r>
    </w:p>
    <w:p>
      <w:pPr>
        <w:spacing w:after="120"/>
      </w:pPr>
      <w:r>
        <w:rPr>
          <w:rFonts w:ascii="Arial" w:cs="Arial" w:eastAsia="Arial" w:hAnsi="Arial"/>
          <w:b/>
          <w:bCs/>
          <w:sz w:val="22"/>
          <w:szCs w:val="22"/>
        </w:rPr>
        <w:t xml:space="preserve">Pass/Fail Interpretation: </w:t>
      </w:r>
      <w:r>
        <w:rPr>
          <w:rFonts w:ascii="Arial" w:cs="Arial" w:eastAsia="Arial" w:hAnsi="Arial"/>
          <w:sz w:val="22"/>
          <w:szCs w:val="22"/>
        </w:rPr>
        <w:t xml:space="preserve">Pass/pass/PASS/true/True → PASS; Warning/warning/WARN → WARN; all others → FAIL.</w:t>
      </w:r>
    </w:p>
    <w:p>
      <w:pPr>
        <w:spacing w:after="120"/>
      </w:pPr>
      <w:r>
        <w:rPr>
          <w:rFonts w:ascii="Arial" w:cs="Arial" w:eastAsia="Arial" w:hAnsi="Arial"/>
          <w:b/>
          <w:bCs/>
          <w:sz w:val="22"/>
          <w:szCs w:val="22"/>
        </w:rPr>
        <w:t xml:space="preserve">Aggregation: </w:t>
      </w:r>
      <w:r>
        <w:rPr>
          <w:rFonts w:ascii="Arial" w:cs="Arial" w:eastAsia="Arial" w:hAnsi="Arial"/>
          <w:sz w:val="22"/>
          <w:szCs w:val="22"/>
        </w:rPr>
        <w:t xml:space="preserve">Conservative. Multiple policies to same KSI: ANY FAIL → KSI FAIL; else ANY WARN → WARN; else PASS. Highest severity preserved. Details concatenated with source policy IDs.</w:t>
      </w:r>
    </w:p>
    <w:p>
      <w:pPr>
        <w:pStyle w:val="Heading2"/>
        <w:spacing w:after="160" w:before="280"/>
      </w:pPr>
      <w:r>
        <w:rPr>
          <w:rFonts w:ascii="Arial" w:cs="Arial" w:eastAsia="Arial" w:hAnsi="Arial"/>
          <w:b/>
          <w:bCs/>
          <w:color w:val="2E75B6"/>
          <w:sz w:val="28"/>
          <w:szCs w:val="28"/>
        </w:rPr>
        <w:t xml:space="preserve">4.7 Orchestration Layer</w:t>
      </w:r>
    </w:p>
    <w:p>
      <w:pPr>
        <w:spacing w:after="120"/>
      </w:pPr>
      <w:r>
        <w:rPr>
          <w:rFonts w:ascii="Arial" w:cs="Arial" w:eastAsia="Arial" w:hAnsi="Arial"/>
          <w:b/>
          <w:bCs/>
          <w:sz w:val="22"/>
          <w:szCs w:val="22"/>
        </w:rPr>
        <w:t xml:space="preserve">Module: </w:t>
      </w:r>
      <w:r>
        <w:rPr>
          <w:rFonts w:ascii="Arial" w:cs="Arial" w:eastAsia="Arial" w:hAnsi="Arial"/>
          <w:sz w:val="22"/>
          <w:szCs w:val="22"/>
        </w:rPr>
        <w:t xml:space="preserve">orchestrator/orchestrator.py</w:t>
      </w:r>
    </w:p>
    <w:p>
      <w:pPr>
        <w:spacing w:after="120"/>
      </w:pPr>
      <w:r>
        <w:rPr>
          <w:rFonts w:ascii="Arial" w:cs="Arial" w:eastAsia="Arial" w:hAnsi="Arial"/>
          <w:sz w:val="22"/>
          <w:szCs w:val="22"/>
        </w:rPr>
        <w:t xml:space="preserve">Chains all four planes into a managed execution with error handling, retry logic (exponential backoff), and timestamped run isolation. Each run creates {timestamp}Z-run-{uuid} directory with ir/, ksi/, evidence/, oscal/ subdirectories plus logs. Pipeline halts if any plane fails. Supports dry-run mode and configurable plane selection.</w:t>
      </w:r>
    </w:p>
    <w:p>
      <w:pPr>
        <w:spacing w:after="120"/>
      </w:pPr>
      <w:r>
        <w:rPr>
          <w:rFonts w:ascii="Arial" w:cs="Arial" w:eastAsia="Arial" w:hAnsi="Arial"/>
          <w:sz w:val="22"/>
          <w:szCs w:val="22"/>
        </w:rPr>
        <w:t xml:space="preserve">Auto-normalization: if raw ScubaGear input is detected (TestResults/Results keys, or directory input), normalization runs automatically before Plane 1 transformation.</w:t>
      </w:r>
    </w:p>
    <w:p>
      <w:pPr>
        <w:spacing w:after="120"/>
      </w:pPr>
      <w:r>
        <w:rPr>
          <w:rFonts w:ascii="Arial" w:cs="Arial" w:eastAsia="Arial" w:hAnsi="Arial"/>
          <w:sz w:val="22"/>
          <w:szCs w:val="22"/>
        </w:rPr>
        <w:t xml:space="preserve">Every run produces manifest.json summarizing: orchestrator version, run ID, timing, per-plane results, and overall success/failure.</w:t>
      </w:r>
    </w:p>
    <w:p>
      <w:r>
        <w:br w:type="page"/>
      </w:r>
    </w:p>
    <w:p>
      <w:pPr>
        <w:pStyle w:val="Heading2"/>
        <w:spacing w:after="160" w:before="280"/>
      </w:pPr>
      <w:r>
        <w:rPr>
          <w:rFonts w:ascii="Arial" w:cs="Arial" w:eastAsia="Arial" w:hAnsi="Arial"/>
          <w:b/>
          <w:bCs/>
          <w:color w:val="2E75B6"/>
          <w:sz w:val="28"/>
          <w:szCs w:val="28"/>
        </w:rPr>
        <w:t xml:space="preserve">4.8 Data Models</w:t>
      </w:r>
    </w:p>
    <w:p>
      <w:pPr>
        <w:spacing w:after="120"/>
      </w:pPr>
      <w:r>
        <w:rPr>
          <w:rFonts w:ascii="Arial" w:cs="Arial" w:eastAsia="Arial" w:hAnsi="Arial"/>
          <w:sz w:val="22"/>
          <w:szCs w:val="22"/>
        </w:rPr>
        <w:t xml:space="preserve">All pipeline data models use Pydantic for runtime validation, serialization, and schema generation. IR Core Models: NormalizedClaim, IREnvelope, Provenance, ControlMapping, EvaluationResult, EvidenceItem. SCuBA Adapter Models: ConnectionProvenance, SchemaMappingObject, QueryProvenance, ClaimSet, DriftReport. Evidence Bundle: EvidenceItem list + HMAC-SHA256 signature + stable hash. OSCAL Output: SSP, POA&amp;M (five-state lifecycle: DETECTED → OPEN → IN PROGRESS → CLOSED → VERIFIED), SAR.</w:t>
      </w:r>
    </w:p>
    <w:p>
      <w:pPr>
        <w:pStyle w:val="Heading2"/>
        <w:spacing w:after="160" w:before="280"/>
      </w:pPr>
      <w:r>
        <w:rPr>
          <w:rFonts w:ascii="Arial" w:cs="Arial" w:eastAsia="Arial" w:hAnsi="Arial"/>
          <w:b/>
          <w:bCs/>
          <w:color w:val="2E75B6"/>
          <w:sz w:val="28"/>
          <w:szCs w:val="28"/>
        </w:rPr>
        <w:t xml:space="preserve">4.9 CLI Architecture</w:t>
      </w:r>
    </w:p>
    <w:p>
      <w:pPr>
        <w:spacing w:after="120"/>
      </w:pPr>
      <w:r>
        <w:rPr>
          <w:rFonts w:ascii="Arial" w:cs="Arial" w:eastAsia="Arial" w:hAnsi="Arial"/>
          <w:sz w:val="22"/>
          <w:szCs w:val="22"/>
        </w:rPr>
        <w:t xml:space="preserve">Built on Typer with Rich console output. SCuBA commands: uiao scuba run/transform/status/diff. KSI commands: evaluate/findings/enrich/validate. Evidence commands: build/verify/freshness/re-sign. OSCAL commands: generate/validate. Governance commands: scorecard/actions/poam/poam-transition/coverage export.</w:t>
      </w:r>
    </w:p>
    <w:p>
      <w:pPr>
        <w:pStyle w:val="Heading2"/>
        <w:spacing w:after="160" w:before="280"/>
      </w:pPr>
      <w:r>
        <w:rPr>
          <w:rFonts w:ascii="Arial" w:cs="Arial" w:eastAsia="Arial" w:hAnsi="Arial"/>
          <w:b/>
          <w:bCs/>
          <w:color w:val="2E75B6"/>
          <w:sz w:val="28"/>
          <w:szCs w:val="28"/>
        </w:rPr>
        <w:t xml:space="preserve">4.10 CI/CD Integration</w:t>
      </w:r>
    </w:p>
    <w:p>
      <w:pPr>
        <w:spacing w:after="120"/>
      </w:pPr>
      <w:r>
        <w:rPr>
          <w:rFonts w:ascii="Arial" w:cs="Arial" w:eastAsia="Arial" w:hAnsi="Arial"/>
          <w:sz w:val="22"/>
          <w:szCs w:val="22"/>
        </w:rPr>
        <w:t xml:space="preserve">Two GitHub Actions workflows: adapter-run-scuba.yml (weekly Monday ScubaGear execution with provenance manifest) and scuba-nightly.yml (nightly full pipeline run with drift detection). Supporting: ci.yml, lint.yml, security-scan.yml, canon-validation.yml.</w:t>
      </w:r>
    </w:p>
    <w:p>
      <w:pPr>
        <w:pStyle w:val="Heading2"/>
        <w:spacing w:after="160" w:before="280"/>
      </w:pPr>
      <w:r>
        <w:rPr>
          <w:rFonts w:ascii="Arial" w:cs="Arial" w:eastAsia="Arial" w:hAnsi="Arial"/>
          <w:b/>
          <w:bCs/>
          <w:color w:val="2E75B6"/>
          <w:sz w:val="28"/>
          <w:szCs w:val="28"/>
        </w:rPr>
        <w:t xml:space="preserve">4.11 BOD 25-01 Compliance Integration</w:t>
      </w:r>
    </w:p>
    <w:p>
      <w:pPr>
        <w:spacing w:after="120"/>
      </w:pPr>
      <w:r>
        <w:rPr>
          <w:rFonts w:ascii="Arial" w:cs="Arial" w:eastAsia="Arial" w:hAnsi="Arial"/>
          <w:sz w:val="22"/>
          <w:szCs w:val="22"/>
        </w:rPr>
        <w:t xml:space="preserve">CISA BOD 25-01 mandates SCuBA baseline implementation and continuous compliance monitoring. UIAO supports this via: mandatory timeline tracking through the KSI evaluation engine, evidence-backed closure with cryptographically signed proof of remediation, coverage export (uiao coverage export --baseline bod-25-01), and POA&amp;M lifecycle management.</w:t>
      </w:r>
    </w:p>
    <w:p>
      <w:r>
        <w:br w:type="page"/>
      </w:r>
    </w:p>
    <w:p>
      <w:pPr>
        <w:pStyle w:val="Heading1"/>
        <w:spacing w:after="200" w:before="360"/>
      </w:pPr>
      <w:r>
        <w:rPr>
          <w:rFonts w:ascii="Arial" w:cs="Arial" w:eastAsia="Arial" w:hAnsi="Arial"/>
          <w:b/>
          <w:bCs/>
          <w:color w:val="2E75B6"/>
          <w:sz w:val="32"/>
          <w:szCs w:val="32"/>
        </w:rPr>
        <w:t xml:space="preserve">5. Implementation Guidance</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Install CISA ScubaGear (v0.5.0+). Ensure PowerShell connectivity to the GCC-Moderate M365 tenant.</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Execute initial ScubaGear assessment. Place output in exports/scuba/.</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Configure config/scuba-transform.json with tenant_boundary_id. Optionally set drop_statuses.</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Run orchestrator: python orchestrator.py --input exports/scuba/ScubaResults.json --output-dir output/ --tenant-id "boundary:tenant:m365:&lt;your-tenant&gt;".</w:t>
      </w:r>
    </w:p>
    <w:p>
      <w:pPr>
        <w:spacing w:after="120"/>
      </w:pPr>
      <w:r>
        <w:rPr>
          <w:rFonts w:ascii="Arial" w:cs="Arial" w:eastAsia="Arial" w:hAnsi="Arial"/>
          <w:b/>
          <w:bCs/>
          <w:sz w:val="22"/>
          <w:szCs w:val="22"/>
        </w:rPr>
        <w:t xml:space="preserve">Step 5: </w:t>
      </w:r>
      <w:r>
        <w:rPr>
          <w:rFonts w:ascii="Arial" w:cs="Arial" w:eastAsia="Arial" w:hAnsi="Arial"/>
          <w:sz w:val="22"/>
          <w:szCs w:val="22"/>
        </w:rPr>
        <w:t xml:space="preserve">Validate: uiao evidence verify, uiao oscal validate, uiao evidence freshness.</w:t>
      </w:r>
    </w:p>
    <w:p>
      <w:pPr>
        <w:spacing w:after="120"/>
      </w:pPr>
      <w:r>
        <w:rPr>
          <w:rFonts w:ascii="Arial" w:cs="Arial" w:eastAsia="Arial" w:hAnsi="Arial"/>
          <w:b/>
          <w:bCs/>
          <w:sz w:val="22"/>
          <w:szCs w:val="22"/>
        </w:rPr>
        <w:t xml:space="preserve">Step 6: </w:t>
      </w:r>
      <w:r>
        <w:rPr>
          <w:rFonts w:ascii="Arial" w:cs="Arial" w:eastAsia="Arial" w:hAnsi="Arial"/>
          <w:sz w:val="22"/>
          <w:szCs w:val="22"/>
        </w:rPr>
        <w:t xml:space="preserve">Enable scuba-nightly.yml and adapter-run-scuba.yml GitHub Actions workflows.</w:t>
      </w:r>
    </w:p>
    <w:p>
      <w:pPr>
        <w:spacing w:after="120"/>
      </w:pPr>
      <w:r>
        <w:rPr>
          <w:rFonts w:ascii="Arial" w:cs="Arial" w:eastAsia="Arial" w:hAnsi="Arial"/>
          <w:b/>
          <w:bCs/>
          <w:sz w:val="22"/>
          <w:szCs w:val="22"/>
        </w:rPr>
        <w:t xml:space="preserve">Step 7: </w:t>
      </w:r>
      <w:r>
        <w:rPr>
          <w:rFonts w:ascii="Arial" w:cs="Arial" w:eastAsia="Arial" w:hAnsi="Arial"/>
          <w:sz w:val="22"/>
          <w:szCs w:val="22"/>
        </w:rPr>
        <w:t xml:space="preserve">Establish POA&amp;M workflow: uiao governance poam --create, then transition states as remediation progresses.</w:t>
      </w:r>
    </w:p>
    <w:p>
      <w:r>
        <w:br w:type="page"/>
      </w:r>
    </w:p>
    <w:p>
      <w:pPr>
        <w:pStyle w:val="Heading1"/>
        <w:spacing w:after="200" w:before="360"/>
      </w:pPr>
      <w:r>
        <w:rPr>
          <w:rFonts w:ascii="Arial" w:cs="Arial" w:eastAsia="Arial" w:hAnsi="Arial"/>
          <w:b/>
          <w:bCs/>
          <w:color w:val="2E75B6"/>
          <w:sz w:val="32"/>
          <w:szCs w:val="32"/>
        </w:rPr>
        <w:t xml:space="preserve">6. Risks and Mitigations</w:t>
      </w:r>
    </w:p>
    <w:p>
      <w:pPr>
        <w:pStyle w:val="Heading2"/>
        <w:spacing w:after="160" w:before="280"/>
      </w:pPr>
      <w:r>
        <w:rPr>
          <w:rFonts w:ascii="Arial" w:cs="Arial" w:eastAsia="Arial" w:hAnsi="Arial"/>
          <w:b/>
          <w:bCs/>
          <w:color w:val="2E75B6"/>
          <w:sz w:val="28"/>
          <w:szCs w:val="28"/>
        </w:rPr>
        <w:t xml:space="preserve">Governance Risks</w:t>
      </w:r>
    </w:p>
    <w:p>
      <w:pPr>
        <w:spacing w:after="120"/>
      </w:pPr>
      <w:r>
        <w:rPr>
          <w:rFonts w:ascii="Arial" w:cs="Arial" w:eastAsia="Arial" w:hAnsi="Arial"/>
          <w:b/>
          <w:bCs/>
          <w:sz w:val="22"/>
          <w:szCs w:val="22"/>
        </w:rPr>
        <w:t xml:space="preserve">G-1 Mapping Drift: </w:t>
      </w:r>
      <w:r>
        <w:rPr>
          <w:rFonts w:ascii="Arial" w:cs="Arial" w:eastAsia="Arial" w:hAnsi="Arial"/>
          <w:sz w:val="22"/>
          <w:szCs w:val="22"/>
        </w:rPr>
        <w:t xml:space="preserve">SCUBA_TO_KSI_MAP may become stale with new ScubaGear policies. Mitigation: unmapped policies tracked in normalization metadata; CI drift-detection alerts on new unmapped policies.</w:t>
      </w:r>
    </w:p>
    <w:p>
      <w:pPr>
        <w:spacing w:after="120"/>
      </w:pPr>
      <w:r>
        <w:rPr>
          <w:rFonts w:ascii="Arial" w:cs="Arial" w:eastAsia="Arial" w:hAnsi="Arial"/>
          <w:b/>
          <w:bCs/>
          <w:sz w:val="22"/>
          <w:szCs w:val="22"/>
        </w:rPr>
        <w:t xml:space="preserve">G-2 Canon Divergence: </w:t>
      </w:r>
      <w:r>
        <w:rPr>
          <w:rFonts w:ascii="Arial" w:cs="Arial" w:eastAsia="Arial" w:hAnsi="Arial"/>
          <w:sz w:val="22"/>
          <w:szCs w:val="22"/>
        </w:rPr>
        <w:t xml:space="preserve">Multiple mapping files could diverge. Mitigation: scuba_adapter.py is canonical SSOT; CI enforces consistency.</w:t>
      </w:r>
    </w:p>
    <w:p>
      <w:pPr>
        <w:pStyle w:val="Heading2"/>
        <w:spacing w:after="160" w:before="280"/>
      </w:pPr>
      <w:r>
        <w:rPr>
          <w:rFonts w:ascii="Arial" w:cs="Arial" w:eastAsia="Arial" w:hAnsi="Arial"/>
          <w:b/>
          <w:bCs/>
          <w:color w:val="2E75B6"/>
          <w:sz w:val="28"/>
          <w:szCs w:val="28"/>
        </w:rPr>
        <w:t xml:space="preserve">Operational Risks</w:t>
      </w:r>
    </w:p>
    <w:p>
      <w:pPr>
        <w:spacing w:after="120"/>
      </w:pPr>
      <w:r>
        <w:rPr>
          <w:rFonts w:ascii="Arial" w:cs="Arial" w:eastAsia="Arial" w:hAnsi="Arial"/>
          <w:b/>
          <w:bCs/>
          <w:sz w:val="22"/>
          <w:szCs w:val="22"/>
        </w:rPr>
        <w:t xml:space="preserve">O-1 Format Changes: </w:t>
      </w:r>
      <w:r>
        <w:rPr>
          <w:rFonts w:ascii="Arial" w:cs="Arial" w:eastAsia="Arial" w:hAnsi="Arial"/>
          <w:sz w:val="22"/>
          <w:szCs w:val="22"/>
        </w:rPr>
        <w:t xml:space="preserve">ScubaGear may change JSON structure. Mitigation: multi-format discovery function; schema validation at Plane 1 entry.</w:t>
      </w:r>
    </w:p>
    <w:p>
      <w:pPr>
        <w:spacing w:after="120"/>
      </w:pPr>
      <w:r>
        <w:rPr>
          <w:rFonts w:ascii="Arial" w:cs="Arial" w:eastAsia="Arial" w:hAnsi="Arial"/>
          <w:b/>
          <w:bCs/>
          <w:sz w:val="22"/>
          <w:szCs w:val="22"/>
        </w:rPr>
        <w:t xml:space="preserve">O-2 Pipeline Failure: </w:t>
      </w:r>
      <w:r>
        <w:rPr>
          <w:rFonts w:ascii="Arial" w:cs="Arial" w:eastAsia="Arial" w:hAnsi="Arial"/>
          <w:sz w:val="22"/>
          <w:szCs w:val="22"/>
        </w:rPr>
        <w:t xml:space="preserve">Mid-run failure leaves incomplete output. Mitigation: timestamped run isolation, per-plane manifest, retry with exponential backoff.</w:t>
      </w:r>
    </w:p>
    <w:p>
      <w:pPr>
        <w:pStyle w:val="Heading2"/>
        <w:spacing w:after="160" w:before="280"/>
      </w:pPr>
      <w:r>
        <w:rPr>
          <w:rFonts w:ascii="Arial" w:cs="Arial" w:eastAsia="Arial" w:hAnsi="Arial"/>
          <w:b/>
          <w:bCs/>
          <w:color w:val="2E75B6"/>
          <w:sz w:val="28"/>
          <w:szCs w:val="28"/>
        </w:rPr>
        <w:t xml:space="preserve">Security Risks</w:t>
      </w:r>
    </w:p>
    <w:p>
      <w:pPr>
        <w:spacing w:after="120"/>
      </w:pPr>
      <w:r>
        <w:rPr>
          <w:rFonts w:ascii="Arial" w:cs="Arial" w:eastAsia="Arial" w:hAnsi="Arial"/>
          <w:b/>
          <w:bCs/>
          <w:sz w:val="22"/>
          <w:szCs w:val="22"/>
        </w:rPr>
        <w:t xml:space="preserve">S-1 Evidence Tampering: </w:t>
      </w:r>
      <w:r>
        <w:rPr>
          <w:rFonts w:ascii="Arial" w:cs="Arial" w:eastAsia="Arial" w:hAnsi="Arial"/>
          <w:sz w:val="22"/>
          <w:szCs w:val="22"/>
        </w:rPr>
        <w:t xml:space="preserve">Post-generation modification. Mitigation: HMAC-SHA256 signing; stable hash for independent verification.</w:t>
      </w:r>
    </w:p>
    <w:p>
      <w:pPr>
        <w:spacing w:after="120"/>
      </w:pPr>
      <w:r>
        <w:rPr>
          <w:rFonts w:ascii="Arial" w:cs="Arial" w:eastAsia="Arial" w:hAnsi="Arial"/>
          <w:b/>
          <w:bCs/>
          <w:sz w:val="22"/>
          <w:szCs w:val="22"/>
        </w:rPr>
        <w:t xml:space="preserve">S-2 Boundary Violation: </w:t>
      </w:r>
      <w:r>
        <w:rPr>
          <w:rFonts w:ascii="Arial" w:cs="Arial" w:eastAsia="Arial" w:hAnsi="Arial"/>
          <w:sz w:val="22"/>
          <w:szCs w:val="22"/>
        </w:rPr>
        <w:t xml:space="preserve">Non-GCC-Moderate references. Mitigation: tenant_boundary_id enforcement; CI boundary rules.</w:t>
      </w:r>
    </w:p>
    <w:p>
      <w:pPr>
        <w:pStyle w:val="Heading2"/>
        <w:spacing w:after="160" w:before="280"/>
      </w:pPr>
      <w:r>
        <w:rPr>
          <w:rFonts w:ascii="Arial" w:cs="Arial" w:eastAsia="Arial" w:hAnsi="Arial"/>
          <w:b/>
          <w:bCs/>
          <w:color w:val="2E75B6"/>
          <w:sz w:val="28"/>
          <w:szCs w:val="28"/>
        </w:rPr>
        <w:t xml:space="preserve">Drift Risks</w:t>
      </w:r>
    </w:p>
    <w:p>
      <w:pPr>
        <w:spacing w:after="120"/>
      </w:pPr>
      <w:r>
        <w:rPr>
          <w:rFonts w:ascii="Arial" w:cs="Arial" w:eastAsia="Arial" w:hAnsi="Arial"/>
          <w:b/>
          <w:bCs/>
          <w:sz w:val="22"/>
          <w:szCs w:val="22"/>
        </w:rPr>
        <w:t xml:space="preserve">D-1 Evidence Staleness: </w:t>
      </w:r>
      <w:r>
        <w:rPr>
          <w:rFonts w:ascii="Arial" w:cs="Arial" w:eastAsia="Arial" w:hAnsi="Arial"/>
          <w:sz w:val="22"/>
          <w:szCs w:val="22"/>
        </w:rPr>
        <w:t xml:space="preserve">Unbundled evidence expires. Mitigation: freshness engine (Fresh ≤24h, Stale 24h–7d, Expired &gt;7d); nightly pipeline.</w:t>
      </w:r>
    </w:p>
    <w:p>
      <w:pPr>
        <w:spacing w:after="120"/>
      </w:pPr>
      <w:r>
        <w:rPr>
          <w:rFonts w:ascii="Arial" w:cs="Arial" w:eastAsia="Arial" w:hAnsi="Arial"/>
          <w:b/>
          <w:bCs/>
          <w:sz w:val="22"/>
          <w:szCs w:val="22"/>
        </w:rPr>
        <w:t xml:space="preserve">D-2 Configuration Regression: </w:t>
      </w:r>
      <w:r>
        <w:rPr>
          <w:rFonts w:ascii="Arial" w:cs="Arial" w:eastAsia="Arial" w:hAnsi="Arial"/>
          <w:sz w:val="22"/>
          <w:szCs w:val="22"/>
        </w:rPr>
        <w:t xml:space="preserve">Tenant configs regress between assessments. Mitigation: diff engine (Added/Removed/Changed/Unchanged); nightly drift detection.</w:t>
      </w:r>
    </w:p>
    <w:p>
      <w:r>
        <w:br w:type="page"/>
      </w:r>
    </w:p>
    <w:p>
      <w:pPr>
        <w:pStyle w:val="Heading1"/>
        <w:spacing w:after="200" w:before="360"/>
      </w:pPr>
      <w:r>
        <w:rPr>
          <w:rFonts w:ascii="Arial" w:cs="Arial" w:eastAsia="Arial" w:hAnsi="Arial"/>
          <w:b/>
          <w:bCs/>
          <w:color w:val="2E75B6"/>
          <w:sz w:val="32"/>
          <w:szCs w:val="32"/>
        </w:rPr>
        <w:t xml:space="preserve">Appendix C — Full 143-Policy Mapping Table</w:t>
      </w:r>
    </w:p>
    <w:p>
      <w:pPr>
        <w:pStyle w:val="Heading3"/>
        <w:spacing w:after="120" w:before="200"/>
      </w:pPr>
      <w:r>
        <w:rPr>
          <w:rFonts w:ascii="Arial" w:cs="Arial" w:eastAsia="Arial" w:hAnsi="Arial"/>
          <w:b/>
          <w:bCs/>
          <w:color w:val="5A5A5A"/>
          <w:sz w:val="24"/>
          <w:szCs w:val="24"/>
        </w:rPr>
        <w:t xml:space="preserve">Entra ID (MS.AAD)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PolicyId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Control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MS.AAD.1.1v1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Legacy authentication blocked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MS.AAD.2.1v1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Conditional access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MS.AAD.2.2v1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Sign-in log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MS.AAD.2.3v1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Conditional access enforcement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Phishing-resistant MFA for privileged roles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MS.AAD.3.2v2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registration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MS.AAD.3.3v2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for all users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MS.AAD.3.4v1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Authentication strength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MS.AAD.3.5v2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for admin portals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MS.AAD.3.6v1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for high-risk sign-ins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MS.AAD.3.7v1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methods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MS.AAD.3.8v1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AC-12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timeout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MS.AAD.3.9v1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Authentication methods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MS.AAD.4.1v1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Configuration management baselines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MS.AAD.5.1v1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registration restrictions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MS.AAD.5.2v1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consent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MS.AAD.5.3v1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permission grants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MS.AAD.6.1v1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content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MS.AAD.7.4v1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analysis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MS.AAD.7.5v1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detail level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MS.AAD.7.6v1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events selection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MS.AAD.7.7v1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record content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MS.AAD.7.8v1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review and reporting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MS.AAD.7.9v1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record generation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MS.AAD.8.1v1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AC-20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 collaboration settings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MS.AAD.8.2v1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Cross-tenant access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MS.AAD.8.3v1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AC-22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Publicly accessible content</w:t>
            </w:r>
          </w:p>
        </w:tc>
      </w:tr>
    </w:tbl>
    <w:p>
      <w:pPr>
        <w:spacing w:after="200"/>
      </w:pPr>
    </w:p>
    <w:p>
      <w:pPr>
        <w:pStyle w:val="Heading3"/>
        <w:spacing w:after="120" w:before="200"/>
      </w:pPr>
      <w:r>
        <w:rPr>
          <w:rFonts w:ascii="Arial" w:cs="Arial" w:eastAsia="Arial" w:hAnsi="Arial"/>
          <w:b/>
          <w:bCs/>
          <w:color w:val="5A5A5A"/>
          <w:sz w:val="24"/>
          <w:szCs w:val="24"/>
        </w:rPr>
        <w:t xml:space="preserve">Defender (MS.DEFENDER)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PolicyId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Control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MS.DEFENDER.1.1v1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Malware protection enabled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MS.DEFENDER.1.2v1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Anti-malware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MS.DEFENDER.1.3v1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 Attachments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MS.DEFENDER.1.4v1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 and alerting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MS.DEFENDER.1.5v1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protection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MS.DEFENDER.2.1v1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Anti-spam inbound filtering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MS.DEFENDER.2.2v1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Anti-spam outbound filtering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MS.DEFENDER.2.3v1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Anti-phishing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MS.DEFENDER.4.1v2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 policies configuration</w:t>
            </w:r>
          </w:p>
        </w:tc>
      </w:tr>
    </w:tbl>
    <w:p>
      <w:pPr>
        <w:spacing w:after="200"/>
      </w:pPr>
    </w:p>
    <w:p>
      <w:pPr>
        <w:pStyle w:val="Heading3"/>
        <w:spacing w:after="120" w:before="200"/>
      </w:pPr>
      <w:r>
        <w:rPr>
          <w:rFonts w:ascii="Arial" w:cs="Arial" w:eastAsia="Arial" w:hAnsi="Arial"/>
          <w:b/>
          <w:bCs/>
          <w:color w:val="5A5A5A"/>
          <w:sz w:val="24"/>
          <w:szCs w:val="24"/>
        </w:rPr>
        <w:t xml:space="preserve">Exchange Online (MS.EXO)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PolicyId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Control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MS.EXO.3.1v1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SC-8(1)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Transport encryption enforcement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MS.EXO.6.1v1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Spam filtering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MS.EXO.16.1v1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Malware filter policies</w:t>
            </w:r>
          </w:p>
        </w:tc>
      </w:tr>
    </w:tbl>
    <w:p>
      <w:pPr>
        <w:spacing w:after="200"/>
      </w:pPr>
    </w:p>
    <w:p>
      <w:pPr>
        <w:pStyle w:val="Heading3"/>
        <w:spacing w:after="120" w:before="200"/>
      </w:pPr>
      <w:r>
        <w:rPr>
          <w:rFonts w:ascii="Arial" w:cs="Arial" w:eastAsia="Arial" w:hAnsi="Arial"/>
          <w:b/>
          <w:bCs/>
          <w:color w:val="5A5A5A"/>
          <w:sz w:val="24"/>
          <w:szCs w:val="24"/>
        </w:rPr>
        <w:t xml:space="preserve">SharePoint (MS.SHAREPOINT)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PolicyId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Control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MS.SHAREPOINT.1.1v1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Sharing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MS.SHAREPOINT.1.2v1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sharing link type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MS.SHAREPOINT.1.3v1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AC-20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 sharing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MS.SHAREPOINT.2.1v1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content for SharePoint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MS.SHAREPOINT.2.2v1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detail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MS.SHAREPOINT.3.1v1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SC-28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at rest protection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MS.SHAREPOINT.3.2v1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SC-8(1)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in transit protection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MS.SHAREPOINT.3.3v1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MP-5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 protection</w:t>
            </w:r>
          </w:p>
        </w:tc>
      </w:tr>
    </w:tbl>
    <w:p>
      <w:pPr>
        <w:spacing w:after="200"/>
      </w:pPr>
    </w:p>
    <w:p>
      <w:pPr>
        <w:pStyle w:val="Heading3"/>
        <w:spacing w:after="120" w:before="200"/>
      </w:pPr>
      <w:r>
        <w:rPr>
          <w:rFonts w:ascii="Arial" w:cs="Arial" w:eastAsia="Arial" w:hAnsi="Arial"/>
          <w:b/>
          <w:bCs/>
          <w:color w:val="5A5A5A"/>
          <w:sz w:val="24"/>
          <w:szCs w:val="24"/>
        </w:rPr>
        <w:t xml:space="preserve">Teams (MS.TEAMS)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PolicyId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Control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MS.TEAMS.1.1v1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Least privilege for Teams admin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MS.TEAMS.1.2v2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 access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MS.TEAMS.1.3v1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Guest access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MS.TEAMS.1.4v1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Meeting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MS.TEAMS.1.5v1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Messaging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MS.TEAMS.1.6v1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 permission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MS.TEAMS.1.7v2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 setup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MS.TEAMS.2.1v2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content for Teams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MS.TEAMS.2.2v2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detail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MS.TEAMS.2.3v2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MS.TEAMS.4.1v1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AC-12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timeout 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MS.TEAMS.5.1v2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Anti-phishing for Teams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MS.TEAMS.5.2v2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 Links for Teams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MS.TEAMS.5.3v2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app policies</w:t>
            </w:r>
          </w:p>
        </w:tc>
      </w:tr>
    </w:tbl>
    <w:p>
      <w:pPr>
        <w:spacing w:after="200"/>
      </w:pPr>
    </w:p>
    <w:p>
      <w:pPr>
        <w:pStyle w:val="Heading3"/>
        <w:spacing w:after="120" w:before="200"/>
      </w:pPr>
      <w:r>
        <w:rPr>
          <w:rFonts w:ascii="Arial" w:cs="Arial" w:eastAsia="Arial" w:hAnsi="Arial"/>
          <w:b/>
          <w:bCs/>
          <w:color w:val="5A5A5A"/>
          <w:sz w:val="24"/>
          <w:szCs w:val="24"/>
        </w:rPr>
        <w:t xml:space="preserve">Power Platform (MS.POWERPLATFORM)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PolicyId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Control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MS.POWERPLATFORM.1.1v1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Environment security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MS.POWERPLATFORM.1.2v1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loss prevention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MS.POWERPLATFORM.2.1v1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Connector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MS.POWERPLATFORM.2.2v1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Configuration baselines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MS.POWERPLATFORM.3.1v1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Canvas app sharing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MS.POWERPLATFORM.3.2v1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Model-driven app access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MS.POWERPLATFORM.4.1v1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 Automate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MS.POWERPLATFORM.5.1v1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Builder access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MS.POWERPLATFORM.6.1v1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Copilot Studio policies</w:t>
            </w:r>
          </w:p>
        </w:tc>
      </w:tr>
    </w:tbl>
    <w:p>
      <w:pPr>
        <w:spacing w:after="200"/>
      </w:pPr>
    </w:p>
    <w:p>
      <w:pPr>
        <w:pStyle w:val="Heading3"/>
        <w:spacing w:after="120" w:before="200"/>
      </w:pPr>
      <w:r>
        <w:rPr>
          <w:rFonts w:ascii="Arial" w:cs="Arial" w:eastAsia="Arial" w:hAnsi="Arial"/>
          <w:b/>
          <w:bCs/>
          <w:color w:val="5A5A5A"/>
          <w:sz w:val="24"/>
          <w:szCs w:val="24"/>
        </w:rPr>
        <w:t xml:space="preserve">Power BI (MS.POWERBI)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PolicyId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Control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MS.POWERBI.1.1v1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Sharing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MS.POWERBI.2.1v1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 control policies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MS.POWERBI.3.1v1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SC-28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at rest encryption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MS.POWERBI.4.1v1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MP-5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 transport protection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MS.POWERBI.4.2v1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logging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MS.POWERBI.5.1v1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External sharing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MS.POWERBI.6.1v1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Configuration management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MS.POWERBI.7.1v1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 input validation</w:t>
            </w:r>
          </w:p>
        </w:tc>
      </w:tr>
    </w:tbl>
    <w:p>
      <w:pPr>
        <w:spacing w:after="200"/>
      </w:pPr>
    </w:p>
    <w:p>
      <w:pPr>
        <w:pStyle w:val="Heading3"/>
        <w:spacing w:after="120" w:before="200"/>
      </w:pPr>
      <w:r>
        <w:rPr>
          <w:rFonts w:ascii="Arial" w:cs="Arial" w:eastAsia="Arial" w:hAnsi="Arial"/>
          <w:b/>
          <w:bCs/>
          <w:color w:val="5A5A5A"/>
          <w:sz w:val="24"/>
          <w:szCs w:val="24"/>
        </w:rPr>
        <w:t xml:space="preserve">Security Suite (MS.SECURITYSUITE)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PolicyId</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NIST Control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MS.SECURITYSUITE.1.1v1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Malicious code protection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MS.SECURITYSUITE.1.2v1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Spam protection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MS.SECURITYSUITE.1.3v1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 handling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MS.SECURITYSUITE.1.4v1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 monitoring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MS.SECURITYSUITE.2.1v1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configuration settings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MS.SECURITYSUITE.2.2v1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Least functionality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MS.SECURITYSUITE.2.3v1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Configuration change control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MS.SECURITYSUITE.3.1v1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SC-28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Protection of information at rest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MS.SECURITYSUITE.3.2v1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SC-8(1)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Cryptographic protection in transit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MS.SECURITYSUITE.3.3v1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MP-5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 transport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MS.SECURITYSUITE.3.4v1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 enforcement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MS.SECURITYSUITE.3.5v1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of audit records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MS.SECURITYSUITE.4.1v1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management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MS.SECURITYSUITE.4.2v1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Least privilege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MS.SECURITYSUITE.5.1v1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Identification and authentication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MS.SECURITYSUITE.5.2v1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Authenticator management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MS.SECURITYSUITE.6.1v1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logging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MS.SECURITYSUITE.6.2v1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of audit records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MS.SECURITYSUITE.7.1v1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 protection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MS.SECURITYSUITE.7.2v1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AC-20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of external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MS.SECURITYSUITE.7.3v1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SC-8(1)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Cryptographic protection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MS.SECURITYSUITE.8.1v1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 handling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MS.SECURITYSUITE.8.2v1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 monitoring</w:t>
            </w:r>
          </w:p>
        </w:tc>
      </w:tr>
    </w:tbl>
    <w:p>
      <w:pPr>
        <w:spacing w:after="200"/>
      </w:pPr>
    </w:p>
    <w:p>
      <w:r>
        <w:br w:type="page"/>
      </w:r>
    </w:p>
    <w:p>
      <w:pPr>
        <w:pStyle w:val="Heading1"/>
        <w:spacing w:after="200" w:before="360"/>
      </w:pPr>
      <w:r>
        <w:rPr>
          <w:rFonts w:ascii="Arial" w:cs="Arial" w:eastAsia="Arial" w:hAnsi="Arial"/>
          <w:b/>
          <w:bCs/>
          <w:color w:val="2E75B6"/>
          <w:sz w:val="32"/>
          <w:szCs w:val="32"/>
        </w:rPr>
        <w:t xml:space="preserve">Appendix D — References</w:t>
      </w:r>
    </w:p>
    <w:p>
      <w:pPr>
        <w:spacing w:after="120"/>
      </w:pPr>
      <w:r>
        <w:rPr>
          <w:rFonts w:ascii="Arial" w:cs="Arial" w:eastAsia="Arial" w:hAnsi="Arial"/>
          <w:sz w:val="22"/>
          <w:szCs w:val="22"/>
        </w:rPr>
        <w:t xml:space="preserve">1. CISA ScubaGear Repository: https://github.com/cisagov/ScubaGear</w:t>
      </w:r>
    </w:p>
    <w:p>
      <w:pPr>
        <w:spacing w:after="120"/>
      </w:pPr>
      <w:r>
        <w:rPr>
          <w:rFonts w:ascii="Arial" w:cs="Arial" w:eastAsia="Arial" w:hAnsi="Arial"/>
          <w:sz w:val="22"/>
          <w:szCs w:val="22"/>
        </w:rPr>
        <w:t xml:space="preserve">2. CISA SCuBA Program: https://www.cisa.gov/scuba</w:t>
      </w:r>
    </w:p>
    <w:p>
      <w:pPr>
        <w:spacing w:after="120"/>
      </w:pPr>
      <w:r>
        <w:rPr>
          <w:rFonts w:ascii="Arial" w:cs="Arial" w:eastAsia="Arial" w:hAnsi="Arial"/>
          <w:sz w:val="22"/>
          <w:szCs w:val="22"/>
        </w:rPr>
        <w:t xml:space="preserve">3. NIST SP 800-53 Rev 5: Security and Privacy Controls for Information Systems and Organizations</w:t>
      </w:r>
    </w:p>
    <w:p>
      <w:pPr>
        <w:spacing w:after="120"/>
      </w:pPr>
      <w:r>
        <w:rPr>
          <w:rFonts w:ascii="Arial" w:cs="Arial" w:eastAsia="Arial" w:hAnsi="Arial"/>
          <w:sz w:val="22"/>
          <w:szCs w:val="22"/>
        </w:rPr>
        <w:t xml:space="preserve">4. NIST OSCAL 1.1.2: Open Security Controls Assessment Language</w:t>
      </w:r>
    </w:p>
    <w:p>
      <w:pPr>
        <w:spacing w:after="120"/>
      </w:pPr>
      <w:r>
        <w:rPr>
          <w:rFonts w:ascii="Arial" w:cs="Arial" w:eastAsia="Arial" w:hAnsi="Arial"/>
          <w:sz w:val="22"/>
          <w:szCs w:val="22"/>
        </w:rPr>
        <w:t xml:space="preserve">5. CISA BOD 25-01: Binding Operational Directive</w:t>
      </w:r>
    </w:p>
    <w:p>
      <w:pPr>
        <w:spacing w:after="120"/>
      </w:pPr>
      <w:r>
        <w:rPr>
          <w:rFonts w:ascii="Arial" w:cs="Arial" w:eastAsia="Arial" w:hAnsi="Arial"/>
          <w:sz w:val="22"/>
          <w:szCs w:val="22"/>
        </w:rPr>
        <w:t xml:space="preserve">6. FedRAMP Moderate Baseline (NIST SP 800-53 Rev 5)</w:t>
      </w:r>
    </w:p>
    <w:p>
      <w:pPr>
        <w:spacing w:after="120"/>
      </w:pPr>
      <w:r>
        <w:rPr>
          <w:rFonts w:ascii="Arial" w:cs="Arial" w:eastAsia="Arial" w:hAnsi="Arial"/>
          <w:sz w:val="22"/>
          <w:szCs w:val="22"/>
        </w:rPr>
        <w:t xml:space="preserve">7. UIAO-Core Repository: uiao-core v2.0.0</w:t>
      </w:r>
    </w:p>
    <w:p>
      <w:pPr>
        <w:spacing w:after="120"/>
      </w:pPr>
      <w:r>
        <w:rPr>
          <w:rFonts w:ascii="Arial" w:cs="Arial" w:eastAsia="Arial" w:hAnsi="Arial"/>
          <w:sz w:val="22"/>
          <w:szCs w:val="22"/>
        </w:rPr>
        <w:t xml:space="preserve">8. UIAO Master Document Specification Package (April 2026)</w:t>
      </w:r>
    </w:p>
    <w:p>
      <w:r>
        <w:br w:type="page"/>
      </w:r>
    </w:p>
    <w:p>
      <w:pPr>
        <w:pStyle w:val="Heading1"/>
        <w:spacing w:after="200" w:before="360"/>
      </w:pPr>
      <w:r>
        <w:rPr>
          <w:rFonts w:ascii="Arial" w:cs="Arial" w:eastAsia="Arial" w:hAnsi="Arial"/>
          <w:b/>
          <w:bCs/>
          <w:color w:val="2E75B6"/>
          <w:sz w:val="32"/>
          <w:szCs w:val="32"/>
        </w:rPr>
        <w:t xml:space="preserve">Glossary</w:t>
      </w:r>
    </w:p>
    <w:p>
      <w:pPr>
        <w:spacing w:after="120"/>
      </w:pPr>
      <w:r>
        <w:rPr>
          <w:rFonts w:ascii="Arial" w:cs="Arial" w:eastAsia="Arial" w:hAnsi="Arial"/>
          <w:b/>
          <w:bCs/>
          <w:sz w:val="22"/>
          <w:szCs w:val="22"/>
        </w:rPr>
        <w:t xml:space="preserve">Adapter: </w:t>
      </w:r>
      <w:r>
        <w:rPr>
          <w:rFonts w:ascii="Arial" w:cs="Arial" w:eastAsia="Arial" w:hAnsi="Arial"/>
          <w:sz w:val="22"/>
          <w:szCs w:val="22"/>
        </w:rPr>
        <w:t xml:space="preserve">A pluggable module implementing ComplianceAdapter for ingesting external compliance data.</w:t>
      </w:r>
    </w:p>
    <w:p>
      <w:pPr>
        <w:spacing w:after="120"/>
      </w:pPr>
      <w:r>
        <w:rPr>
          <w:rFonts w:ascii="Arial" w:cs="Arial" w:eastAsia="Arial" w:hAnsi="Arial"/>
          <w:b/>
          <w:bCs/>
          <w:sz w:val="22"/>
          <w:szCs w:val="22"/>
        </w:rPr>
        <w:t xml:space="preserve">BOD 25-01: </w:t>
      </w:r>
      <w:r>
        <w:rPr>
          <w:rFonts w:ascii="Arial" w:cs="Arial" w:eastAsia="Arial" w:hAnsi="Arial"/>
          <w:sz w:val="22"/>
          <w:szCs w:val="22"/>
        </w:rPr>
        <w:t xml:space="preserve">CISA Binding Operational Directive requiring SCuBA baseline implementation.</w:t>
      </w:r>
    </w:p>
    <w:p>
      <w:pPr>
        <w:spacing w:after="120"/>
      </w:pPr>
      <w:r>
        <w:rPr>
          <w:rFonts w:ascii="Arial" w:cs="Arial" w:eastAsia="Arial" w:hAnsi="Arial"/>
          <w:b/>
          <w:bCs/>
          <w:sz w:val="22"/>
          <w:szCs w:val="22"/>
        </w:rPr>
        <w:t xml:space="preserve">Canon: </w:t>
      </w:r>
      <w:r>
        <w:rPr>
          <w:rFonts w:ascii="Arial" w:cs="Arial" w:eastAsia="Arial" w:hAnsi="Arial"/>
          <w:sz w:val="22"/>
          <w:szCs w:val="22"/>
        </w:rPr>
        <w:t xml:space="preserve">Authoritative configuration and document standards for UIAO.</w:t>
      </w:r>
    </w:p>
    <w:p>
      <w:pPr>
        <w:spacing w:after="120"/>
      </w:pPr>
      <w:r>
        <w:rPr>
          <w:rFonts w:ascii="Arial" w:cs="Arial" w:eastAsia="Arial" w:hAnsi="Arial"/>
          <w:b/>
          <w:bCs/>
          <w:sz w:val="22"/>
          <w:szCs w:val="22"/>
        </w:rPr>
        <w:t xml:space="preserve">FedRAMP: </w:t>
      </w:r>
      <w:r>
        <w:rPr>
          <w:rFonts w:ascii="Arial" w:cs="Arial" w:eastAsia="Arial" w:hAnsi="Arial"/>
          <w:sz w:val="22"/>
          <w:szCs w:val="22"/>
        </w:rPr>
        <w:t xml:space="preserve">Federal Risk and Authorization Management Program.</w:t>
      </w:r>
    </w:p>
    <w:p>
      <w:pPr>
        <w:spacing w:after="120"/>
      </w:pPr>
      <w:r>
        <w:rPr>
          <w:rFonts w:ascii="Arial" w:cs="Arial" w:eastAsia="Arial" w:hAnsi="Arial"/>
          <w:b/>
          <w:bCs/>
          <w:sz w:val="22"/>
          <w:szCs w:val="22"/>
        </w:rPr>
        <w:t xml:space="preserve">GCC-Moderate: </w:t>
      </w:r>
      <w:r>
        <w:rPr>
          <w:rFonts w:ascii="Arial" w:cs="Arial" w:eastAsia="Arial" w:hAnsi="Arial"/>
          <w:sz w:val="22"/>
          <w:szCs w:val="22"/>
        </w:rPr>
        <w:t xml:space="preserve">Microsoft Government Community Cloud for FedRAMP Moderate workloads.</w:t>
      </w:r>
    </w:p>
    <w:p>
      <w:pPr>
        <w:spacing w:after="120"/>
      </w:pPr>
      <w:r>
        <w:rPr>
          <w:rFonts w:ascii="Arial" w:cs="Arial" w:eastAsia="Arial" w:hAnsi="Arial"/>
          <w:b/>
          <w:bCs/>
          <w:sz w:val="22"/>
          <w:szCs w:val="22"/>
        </w:rPr>
        <w:t xml:space="preserve">HMAC-SHA256: </w:t>
      </w:r>
      <w:r>
        <w:rPr>
          <w:rFonts w:ascii="Arial" w:cs="Arial" w:eastAsia="Arial" w:hAnsi="Arial"/>
          <w:sz w:val="22"/>
          <w:szCs w:val="22"/>
        </w:rPr>
        <w:t xml:space="preserve">Hash-based Message Authentication Code using SHA-256 for evidence signing.</w:t>
      </w:r>
    </w:p>
    <w:p>
      <w:pPr>
        <w:spacing w:after="120"/>
      </w:pPr>
      <w:r>
        <w:rPr>
          <w:rFonts w:ascii="Arial" w:cs="Arial" w:eastAsia="Arial" w:hAnsi="Arial"/>
          <w:b/>
          <w:bCs/>
          <w:sz w:val="22"/>
          <w:szCs w:val="22"/>
        </w:rPr>
        <w:t xml:space="preserve">IR: </w:t>
      </w:r>
      <w:r>
        <w:rPr>
          <w:rFonts w:ascii="Arial" w:cs="Arial" w:eastAsia="Arial" w:hAnsi="Arial"/>
          <w:sz w:val="22"/>
          <w:szCs w:val="22"/>
        </w:rPr>
        <w:t xml:space="preserve">Intermediate Representation — normalized internal pipeline data format.</w:t>
      </w:r>
    </w:p>
    <w:p>
      <w:pPr>
        <w:spacing w:after="120"/>
      </w:pPr>
      <w:r>
        <w:rPr>
          <w:rFonts w:ascii="Arial" w:cs="Arial" w:eastAsia="Arial" w:hAnsi="Arial"/>
          <w:b/>
          <w:bCs/>
          <w:sz w:val="22"/>
          <w:szCs w:val="22"/>
        </w:rPr>
        <w:t xml:space="preserve">KSI: </w:t>
      </w:r>
      <w:r>
        <w:rPr>
          <w:rFonts w:ascii="Arial" w:cs="Arial" w:eastAsia="Arial" w:hAnsi="Arial"/>
          <w:sz w:val="22"/>
          <w:szCs w:val="22"/>
        </w:rPr>
        <w:t xml:space="preserve">Key Security Indicator — control evaluation metric mapped from NIST SP 800-53.</w:t>
      </w:r>
    </w:p>
    <w:p>
      <w:pPr>
        <w:spacing w:after="120"/>
      </w:pPr>
      <w:r>
        <w:rPr>
          <w:rFonts w:ascii="Arial" w:cs="Arial" w:eastAsia="Arial" w:hAnsi="Arial"/>
          <w:b/>
          <w:bCs/>
          <w:sz w:val="22"/>
          <w:szCs w:val="22"/>
        </w:rPr>
        <w:t xml:space="preserve">OSCAL: </w:t>
      </w:r>
      <w:r>
        <w:rPr>
          <w:rFonts w:ascii="Arial" w:cs="Arial" w:eastAsia="Arial" w:hAnsi="Arial"/>
          <w:sz w:val="22"/>
          <w:szCs w:val="22"/>
        </w:rPr>
        <w:t xml:space="preserve">Open Security Controls Assessment Language (NIST standard).</w:t>
      </w:r>
    </w:p>
    <w:p>
      <w:pPr>
        <w:spacing w:after="120"/>
      </w:pPr>
      <w:r>
        <w:rPr>
          <w:rFonts w:ascii="Arial" w:cs="Arial" w:eastAsia="Arial" w:hAnsi="Arial"/>
          <w:b/>
          <w:bCs/>
          <w:sz w:val="22"/>
          <w:szCs w:val="22"/>
        </w:rPr>
        <w:t xml:space="preserve">POA&amp;M: </w:t>
      </w:r>
      <w:r>
        <w:rPr>
          <w:rFonts w:ascii="Arial" w:cs="Arial" w:eastAsia="Arial" w:hAnsi="Arial"/>
          <w:sz w:val="22"/>
          <w:szCs w:val="22"/>
        </w:rPr>
        <w:t xml:space="preserve">Plan of Action and Milestones for tracking security finding remediation.</w:t>
      </w:r>
    </w:p>
    <w:p>
      <w:pPr>
        <w:spacing w:after="120"/>
      </w:pPr>
      <w:r>
        <w:rPr>
          <w:rFonts w:ascii="Arial" w:cs="Arial" w:eastAsia="Arial" w:hAnsi="Arial"/>
          <w:b/>
          <w:bCs/>
          <w:sz w:val="22"/>
          <w:szCs w:val="22"/>
        </w:rPr>
        <w:t xml:space="preserve">SCuBA: </w:t>
      </w:r>
      <w:r>
        <w:rPr>
          <w:rFonts w:ascii="Arial" w:cs="Arial" w:eastAsia="Arial" w:hAnsi="Arial"/>
          <w:sz w:val="22"/>
          <w:szCs w:val="22"/>
        </w:rPr>
        <w:t xml:space="preserve">Secure Cloud Business Applications (CISA program).</w:t>
      </w:r>
    </w:p>
    <w:p>
      <w:pPr>
        <w:spacing w:after="120"/>
      </w:pPr>
      <w:r>
        <w:rPr>
          <w:rFonts w:ascii="Arial" w:cs="Arial" w:eastAsia="Arial" w:hAnsi="Arial"/>
          <w:b/>
          <w:bCs/>
          <w:sz w:val="22"/>
          <w:szCs w:val="22"/>
        </w:rPr>
        <w:t xml:space="preserve">ScubaGear: </w:t>
      </w:r>
      <w:r>
        <w:rPr>
          <w:rFonts w:ascii="Arial" w:cs="Arial" w:eastAsia="Arial" w:hAnsi="Arial"/>
          <w:sz w:val="22"/>
          <w:szCs w:val="22"/>
        </w:rPr>
        <w:t xml:space="preserve">CISA’s PowerShell tool for M365 configuration assessment.</w:t>
      </w:r>
    </w:p>
    <w:p>
      <w:pPr>
        <w:spacing w:after="120"/>
      </w:pPr>
      <w:r>
        <w:rPr>
          <w:rFonts w:ascii="Arial" w:cs="Arial" w:eastAsia="Arial" w:hAnsi="Arial"/>
          <w:b/>
          <w:bCs/>
          <w:sz w:val="22"/>
          <w:szCs w:val="22"/>
        </w:rPr>
        <w:t xml:space="preserve">SSP: </w:t>
      </w:r>
      <w:r>
        <w:rPr>
          <w:rFonts w:ascii="Arial" w:cs="Arial" w:eastAsia="Arial" w:hAnsi="Arial"/>
          <w:sz w:val="22"/>
          <w:szCs w:val="22"/>
        </w:rPr>
        <w:t xml:space="preserve">System Security Plan.</w:t>
      </w:r>
    </w:p>
    <w:p>
      <w:pPr>
        <w:spacing w:after="120"/>
      </w:pPr>
      <w:r>
        <w:rPr>
          <w:rFonts w:ascii="Arial" w:cs="Arial" w:eastAsia="Arial" w:hAnsi="Arial"/>
          <w:b/>
          <w:bCs/>
          <w:sz w:val="22"/>
          <w:szCs w:val="22"/>
        </w:rPr>
        <w:t xml:space="preserve">SSOT: </w:t>
      </w:r>
      <w:r>
        <w:rPr>
          <w:rFonts w:ascii="Arial" w:cs="Arial" w:eastAsia="Arial" w:hAnsi="Arial"/>
          <w:sz w:val="22"/>
          <w:szCs w:val="22"/>
        </w:rPr>
        <w:t xml:space="preserve">Single Source of Truth — singular and certificate-anchored in UIAO.</w:t>
      </w:r>
    </w:p>
    <w:p>
      <w:r>
        <w:br w:type="page"/>
      </w:r>
    </w:p>
    <w:p>
      <w:pPr>
        <w:pStyle w:val="Heading1"/>
        <w:spacing w:after="200" w:before="360"/>
      </w:pPr>
      <w:r>
        <w:rPr>
          <w:rFonts w:ascii="Arial" w:cs="Arial" w:eastAsia="Arial" w:hAnsi="Arial"/>
          <w:b/>
          <w:bCs/>
          <w:color w:val="2E75B6"/>
          <w:sz w:val="32"/>
          <w:szCs w:val="32"/>
        </w:rPr>
        <w:t xml:space="preserve">Validation Block</w:t>
      </w:r>
    </w:p>
    <w:p>
      <w:pPr>
        <w:spacing w:after="120"/>
      </w:pPr>
      <w:r>
        <w:rPr>
          <w:rFonts w:ascii="Arial" w:cs="Arial" w:eastAsia="Arial" w:hAnsi="Arial"/>
          <w:b/>
          <w:bCs/>
          <w:color w:val="1A9E8F"/>
          <w:sz w:val="22"/>
          <w:szCs w:val="22"/>
        </w:rPr>
        <w:t xml:space="preserve">[VALIDATION]</w:t>
      </w:r>
    </w:p>
    <w:p>
      <w:pPr>
        <w:spacing w:after="120"/>
      </w:pPr>
      <w:r>
        <w:rPr>
          <w:rFonts w:ascii="Arial" w:cs="Arial" w:eastAsia="Arial" w:hAnsi="Arial"/>
          <w:sz w:val="22"/>
          <w:szCs w:val="22"/>
        </w:rPr>
        <w:t xml:space="preserve">All sections validated against source code in uiao-core repository.</w:t>
      </w:r>
    </w:p>
    <w:p>
      <w:pPr>
        <w:spacing w:after="120"/>
      </w:pPr>
      <w:r>
        <w:rPr>
          <w:rFonts w:ascii="Arial" w:cs="Arial" w:eastAsia="Arial" w:hAnsi="Arial"/>
          <w:sz w:val="22"/>
          <w:szCs w:val="22"/>
        </w:rPr>
        <w:t xml:space="preserve">All 143 policy mappings verified against scuba_adapter.py SCUBA_TO_KSI_MAP.</w:t>
      </w:r>
    </w:p>
    <w:p>
      <w:pPr>
        <w:spacing w:after="120"/>
      </w:pPr>
      <w:r>
        <w:rPr>
          <w:rFonts w:ascii="Arial" w:cs="Arial" w:eastAsia="Arial" w:hAnsi="Arial"/>
          <w:sz w:val="22"/>
          <w:szCs w:val="22"/>
        </w:rPr>
        <w:t xml:space="preserve">Four plane descriptions verified against transformer.py, evaluate.py, builder.py, generator.py.</w:t>
      </w:r>
    </w:p>
    <w:p>
      <w:pPr>
        <w:spacing w:after="120"/>
      </w:pPr>
      <w:r>
        <w:rPr>
          <w:rFonts w:ascii="Arial" w:cs="Arial" w:eastAsia="Arial" w:hAnsi="Arial"/>
          <w:sz w:val="22"/>
          <w:szCs w:val="22"/>
        </w:rPr>
        <w:t xml:space="preserve">Orchestrator verified against orchestrator/orchestrator.py.</w:t>
      </w:r>
    </w:p>
    <w:p>
      <w:pPr>
        <w:spacing w:after="120"/>
      </w:pPr>
      <w:r>
        <w:rPr>
          <w:rFonts w:ascii="Arial" w:cs="Arial" w:eastAsia="Arial" w:hAnsi="Arial"/>
          <w:sz w:val="22"/>
          <w:szCs w:val="22"/>
        </w:rPr>
        <w:t xml:space="preserve">KSI mapping chain verified against uiao-control-to-ksi-mapping.yaml (163 KSIs, 247 controls).</w:t>
      </w:r>
    </w:p>
    <w:p>
      <w:pPr>
        <w:spacing w:after="120"/>
      </w:pPr>
      <w:r>
        <w:rPr>
          <w:rFonts w:ascii="Arial" w:cs="Arial" w:eastAsia="Arial" w:hAnsi="Arial"/>
          <w:sz w:val="22"/>
          <w:szCs w:val="22"/>
        </w:rPr>
        <w:t xml:space="preserve">No hallucinations detected. GCC-Moderate boundary enforced throughout.</w:t>
      </w:r>
    </w:p>
    <w:p>
      <w:pPr>
        <w:spacing w:after="120"/>
      </w:pPr>
      <w:r>
        <w:rPr>
          <w:rFonts w:ascii="Arial" w:cs="Arial" w:eastAsia="Arial" w:hAnsi="Arial"/>
          <w:b/>
          <w:bCs/>
          <w:color w:val="1A9E8F"/>
          <w:sz w:val="22"/>
          <w:szCs w:val="22"/>
        </w:rPr>
        <w:t xml:space="preserve">[/VALIDATION]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A5A5A"/>
        <w:sz w:val="16"/>
        <w:szCs w:val="16"/>
      </w:rPr>
      <w:t xml:space="preserve">UIAO SCuBA Technical Specification  |  UIAO_002 v1.0  |  GCC-Moderate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2026-04-13T13:54:50.851Z</dcterms:created>
  <dcterms:modified xsi:type="dcterms:W3CDTF">2026-04-13T13:54:50.853Z</dcterms:modified>
</cp:coreProperties>
</file>

<file path=docProps/custom.xml><?xml version="1.0" encoding="utf-8"?>
<Properties xmlns="http://schemas.openxmlformats.org/officeDocument/2006/custom-properties" xmlns:vt="http://schemas.openxmlformats.org/officeDocument/2006/docPropsVTypes"/>
</file>