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Identity</w:t>
      </w:r>
      <w:r>
        <w:t xml:space="preserve"> </w:t>
      </w:r>
      <w:r>
        <w:t xml:space="preserve">Plane</w:t>
      </w:r>
      <w:r>
        <w:t xml:space="preserve"> </w:t>
      </w:r>
      <w:r>
        <w:t xml:space="preserve">Deep</w:t>
      </w:r>
      <w:r>
        <w:t xml:space="preserve"> </w:t>
      </w:r>
      <w:r>
        <w:t xml:space="preserve">Dive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dentity-control-plane-deep-dive"/>
    <w:p>
      <w:pPr>
        <w:pStyle w:val="Heading1"/>
      </w:pPr>
      <w:r>
        <w:t xml:space="preserve">Identity Control Plane Deep Dive</w:t>
      </w:r>
    </w:p>
    <w:p>
      <w:pPr>
        <w:pStyle w:val="FirstParagraph"/>
      </w:pPr>
      <w:r>
        <w:rPr>
          <w:bCs/>
          <w:b/>
        </w:rPr>
        <w:t xml:space="preserve">Version 1.0</w:t>
      </w:r>
    </w:p>
    <w:p>
      <w:r>
        <w:pict>
          <v:rect style="width:0;height:1.5pt" o:hralign="center" o:hrstd="t" o:hr="t"/>
        </w:pict>
      </w:r>
    </w:p>
    <w:bookmarkEnd w:id="20"/>
    <w:bookmarkStart w:id="21" w:name="identity-plane-overview"/>
    <w:p>
      <w:pPr>
        <w:pStyle w:val="Heading1"/>
      </w:pPr>
      <w:r>
        <w:t xml:space="preserve">Identity Plane Overview</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p>
      <w:r>
        <w:pict>
          <v:rect style="width:0;height:1.5pt" o:hralign="center" o:hrstd="t" o:hr="t"/>
        </w:pict>
      </w:r>
    </w:p>
    <w:bookmarkEnd w:id="21"/>
    <w:bookmarkStart w:id="22" w:name="identity-as-the-root-namespace"/>
    <w:p>
      <w:pPr>
        <w:pStyle w:val="Heading1"/>
      </w:pPr>
      <w:r>
        <w:t xml:space="preserve">Identity as the Root Namespace</w:t>
      </w:r>
    </w:p>
    <w:p>
      <w:pPr>
        <w:pStyle w:val="FirstParagraph"/>
      </w:pPr>
      <w:r>
        <w:t xml:space="preserve">Identity becomes the root namespace for all resources, ensuring that every IP address, certificate, subnet, policy, and telemetry event is derived from or bound to identity.</w:t>
      </w:r>
    </w:p>
    <w:p>
      <w:r>
        <w:pict>
          <v:rect style="width:0;height:1.5pt" o:hralign="center" o:hrstd="t" o:hr="t"/>
        </w:pict>
      </w:r>
    </w:p>
    <w:bookmarkEnd w:id="22"/>
    <w:bookmarkStart w:id="23" w:name="deterministic-addressing-identityderived"/>
    <w:p>
      <w:pPr>
        <w:pStyle w:val="Heading1"/>
      </w:pPr>
      <w:r>
        <w:t xml:space="preserve">Deterministic Addressing (Identity‑Derived)</w:t>
      </w:r>
    </w:p>
    <w:p>
      <w:pPr>
        <w:pStyle w:val="FirstParagraph"/>
      </w:pPr>
      <w:r>
        <w:t xml:space="preserve">Addressing becomes deterministic and policy-driven, replacing ad-hoc assignment with identity-derived logic that enables accurate correlation and automated governance.</w:t>
      </w:r>
    </w:p>
    <w:p>
      <w:r>
        <w:pict>
          <v:rect style="width:0;height:1.5pt" o:hralign="center" o:hrstd="t" o:hr="t"/>
        </w:pict>
      </w:r>
    </w:p>
    <w:bookmarkEnd w:id="23"/>
    <w:bookmarkStart w:id="24" w:name="identitydriven-outcomes"/>
    <w:p>
      <w:pPr>
        <w:pStyle w:val="Heading1"/>
      </w:pPr>
      <w:r>
        <w:t xml:space="preserve">Identity‑Driven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p>
      <w:pPr>
        <w:pStyle w:val="FirstParagraph"/>
      </w:pPr>
      <w:r>
        <w:rPr>
          <w:iCs/>
          <w:i/>
        </w:rPr>
        <w:t xml:space="preserve">End of Identity Plane Deep Dive v1.0</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Identity Plane Deep Dive</dc:title>
  <dc:creator/>
  <cp:keywords/>
  <dcterms:created xsi:type="dcterms:W3CDTF">2026-03-23T00:36:32Z</dcterms:created>
  <dcterms:modified xsi:type="dcterms:W3CDTF">2026-03-23T00:36:32Z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