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288" w:lineRule="auto"/>
        <w:jc w:val="both"/>
      </w:pPr>
      <w:r>
        <w:rPr>
          <w:rFonts w:ascii="Calibri" w:cs="Calibri" w:eastAsia="Calibri" w:hAnsi="Calibri"/>
          <w:b/>
          <w:bCs/>
          <w:i w:val="false"/>
          <w:iCs w:val="false"/>
          <w:strike w:val="false"/>
          <w:color w:val="4472C4"/>
          <w:sz w:val="56"/>
          <w:szCs w:val="56"/>
        </w:rPr>
        <w:t xml:space="preserve">Unified Identity-Addressing-Overlay Architecture (UIAO)</w:t>
      </w:r>
    </w:p>
    <w:p>
      <w:pPr>
        <w:spacing w:after="240" w:before="60" w:line="360" w:lineRule="auto"/>
        <w:jc w:val="both"/>
      </w:pPr>
      <w:r>
        <w:rPr>
          <w:rFonts w:ascii="Calibri" w:cs="Calibri" w:eastAsia="Calibri" w:hAnsi="Calibri"/>
          <w:b/>
          <w:bCs/>
          <w:i w:val="false"/>
          <w:iCs w:val="false"/>
          <w:strike w:val="false"/>
          <w:color w:val="4472C4"/>
          <w:sz w:val="22"/>
          <w:szCs w:val="22"/>
        </w:rPr>
        <w:t xml:space="preserve">Reference Architecture</w:t>
      </w:r>
    </w:p>
    <w:p>
      <w:pPr>
        <w:spacing w:after="480" w:before="60" w:line="360" w:lineRule="auto"/>
        <w:jc w:val="both"/>
      </w:pPr>
      <w:r>
        <w:rPr>
          <w:rFonts w:ascii="Calibri" w:cs="Calibri" w:eastAsia="Calibri" w:hAnsi="Calibri"/>
          <w:b w:val="false"/>
          <w:bCs w:val="false"/>
          <w:i/>
          <w:iCs/>
          <w:strike w:val="false"/>
          <w:color w:val="2B5797"/>
          <w:sz w:val="28"/>
          <w:szCs w:val="28"/>
        </w:rPr>
        <w:t xml:space="preserve">Canonical Compilation — Core Specification, Crosswalk Index,</w:t>
      </w:r>
      <w:r>
        <w:rPr>
          <w:rFonts w:ascii="Calibri" w:cs="Calibri" w:eastAsia="Calibri" w:hAnsi="Calibri"/>
          <w:b w:val="false"/>
          <w:bCs w:val="false"/>
          <w:i/>
          <w:iCs/>
          <w:color w:val="2B5797"/>
          <w:sz w:val="28"/>
          <w:szCs w:val="28"/>
        </w:rPr>
        <w:br/>
      </w:r>
      <w:r>
        <w:rPr>
          <w:rFonts w:ascii="Calibri" w:cs="Calibri" w:eastAsia="Calibri" w:hAnsi="Calibri"/>
          <w:b w:val="false"/>
          <w:bCs w:val="false"/>
          <w:i/>
          <w:iCs/>
          <w:strike w:val="false"/>
          <w:color w:val="2B5797"/>
          <w:sz w:val="28"/>
          <w:szCs w:val="28"/>
        </w:rPr>
        <w:t xml:space="preserve">Directory Structure, and Operational Rules</w:t>
      </w:r>
    </w:p>
    <w:p>
      <w:pPr>
        <w:spacing w:after="80" w:before="60" w:line="360" w:lineRule="auto"/>
        <w:jc w:val="both"/>
      </w:pPr>
      <w:r>
        <w:rPr>
          <w:rFonts w:ascii="Calibri" w:cs="Calibri" w:eastAsia="Calibri" w:hAnsi="Calibri"/>
          <w:b/>
          <w:bCs/>
          <w:i w:val="false"/>
          <w:iCs w:val="false"/>
          <w:strike w:val="false"/>
          <w:color w:val="000000"/>
          <w:sz w:val="22"/>
          <w:szCs w:val="22"/>
        </w:rPr>
        <w:t xml:space="preserve">Version 1.0</w:t>
      </w:r>
      <w:r>
        <w:rPr>
          <w:rFonts w:ascii="Calibri" w:cs="Calibri" w:eastAsia="Calibri" w:hAnsi="Calibri"/>
          <w:b w:val="false"/>
          <w:bCs w:val="false"/>
          <w:i w:val="false"/>
          <w:iCs w:val="false"/>
          <w:strike w:val="false"/>
          <w:color w:val="333333"/>
          <w:sz w:val="22"/>
          <w:szCs w:val="22"/>
        </w:rPr>
        <w:t xml:space="preserve"> — March 2026</w:t>
      </w:r>
    </w:p>
    <w:p>
      <w:pPr>
        <w:spacing w:after="80" w:before="60" w:line="360" w:lineRule="auto"/>
        <w:jc w:val="both"/>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333333"/>
          <w:sz w:val="22"/>
          <w:szCs w:val="22"/>
        </w:rPr>
        <w:t xml:space="preserve"> Michael Stratton</w:t>
      </w:r>
    </w:p>
    <w:p>
      <w:pPr>
        <w:spacing w:after="80" w:before="60" w:line="360" w:lineRule="auto"/>
        <w:jc w:val="both"/>
      </w:pPr>
      <w:r>
        <w:rPr>
          <w:rFonts w:ascii="Calibri" w:cs="Calibri" w:eastAsia="Calibri" w:hAnsi="Calibri"/>
          <w:b/>
          <w:bCs/>
          <w:i w:val="false"/>
          <w:iCs w:val="false"/>
          <w:strike w:val="false"/>
          <w:color w:val="000000"/>
          <w:sz w:val="22"/>
          <w:szCs w:val="22"/>
        </w:rPr>
        <w:t xml:space="preserve">Repository:</w:t>
      </w:r>
      <w:r>
        <w:rPr>
          <w:rFonts w:ascii="Calibri" w:cs="Calibri" w:eastAsia="Calibri" w:hAnsi="Calibri"/>
          <w:b w:val="false"/>
          <w:bCs w:val="false"/>
          <w:i w:val="false"/>
          <w:iCs w:val="false"/>
          <w:strike w:val="false"/>
          <w:color w:val="333333"/>
          <w:sz w:val="22"/>
          <w:szCs w:val="22"/>
        </w:rPr>
        <w:t xml:space="preserve"> https://github.com/WhalerMike/uiao-core (Apache-2.0)</w:t>
      </w:r>
    </w:p>
    <w:p>
      <w:pPr>
        <w:spacing w:after="80" w:before="60" w:line="360" w:lineRule="auto"/>
        <w:jc w:val="both"/>
      </w:pPr>
      <w:r>
        <w:rPr>
          <w:rFonts w:ascii="Calibri" w:cs="Calibri" w:eastAsia="Calibri" w:hAnsi="Calibri"/>
          <w:b/>
          <w:bCs/>
          <w:i w:val="false"/>
          <w:iCs w:val="false"/>
          <w:strike w:val="false"/>
          <w:color w:val="000000"/>
          <w:sz w:val="22"/>
          <w:szCs w:val="22"/>
        </w:rPr>
        <w:t xml:space="preserve">Compilation Date:</w:t>
      </w:r>
      <w:r>
        <w:rPr>
          <w:rFonts w:ascii="Calibri" w:cs="Calibri" w:eastAsia="Calibri" w:hAnsi="Calibri"/>
          <w:b w:val="false"/>
          <w:bCs w:val="false"/>
          <w:i w:val="false"/>
          <w:iCs w:val="false"/>
          <w:strike w:val="false"/>
          <w:color w:val="333333"/>
          <w:sz w:val="22"/>
          <w:szCs w:val="22"/>
        </w:rPr>
        <w:t xml:space="preserve"> 31 March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0000" w:sz="6"/>
              <w:left w:val="single" w:color="C00000" w:sz="6"/>
              <w:bottom w:val="single" w:color="C00000" w:sz="6"/>
              <w:right w:val="single" w:color="C00000" w:sz="6"/>
            </w:tcBorders>
            <w:shd w:fill="FFFFFF" w:color="auto" w:val="clear"/>
            <w:tcMar>
              <w:top w:type="dxa" w:w="360"/>
              <w:left w:type="dxa" w:w="504"/>
              <w:bottom w:type="dxa" w:w="360"/>
              <w:right w:type="dxa" w:w="504"/>
            </w:tcMar>
          </w:tcPr>
          <w:p>
            <w:pPr>
              <w:spacing w:after="120" w:line="408" w:lineRule="auto"/>
            </w:pPr>
            <w:r>
              <w:t xml:space="preserve">CUI // FOUO</w:t>
            </w:r>
          </w:p>
        </w:tc>
      </w:tr>
    </w:tbl>
    <w:p>
      <w:pPr>
        <w:spacing w:after="240" w:before="0"/>
      </w:pPr>
    </w:p>
    <w:p>
      <w:pPr>
        <w:pBdr>
          <w:bottom w:val="single" w:color="4472C4" w:sz="6"/>
        </w:pBdr>
        <w:spacing w:after="240" w:before="240"/>
      </w:pPr>
    </w:p>
    <w:p>
      <w:pPr>
        <w:pStyle w:val="Heading2"/>
        <w:spacing w:after="120" w:before="440" w:line="360" w:lineRule="auto"/>
      </w:pPr>
      <w:r>
        <w:rPr>
          <w:rFonts w:ascii="Calibri" w:cs="Calibri" w:eastAsia="Calibri" w:hAnsi="Calibri"/>
          <w:color w:val="4472C4"/>
          <w:sz w:val="36"/>
          <w:szCs w:val="36"/>
        </w:rPr>
        <w:t xml:space="preserve">How to Read This Document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This reference architecture serves multiple audiences. Use the routing table below to identify the sections most relevant to your role.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Audience</w:t>
            </w:r>
          </w:p>
        </w:tc>
        <w:tc>
          <w:tcPr>
            <w:tcW w:type="pct" w:w="2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Primary Sections</w:t>
            </w:r>
          </w:p>
        </w:tc>
        <w:tc>
          <w:tcPr>
            <w:tcW w:type="pct" w:w="2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Recommended Appendices</w:t>
            </w:r>
          </w:p>
        </w:tc>
        <w:tc>
          <w:tcPr>
            <w:tcW w:type="pct" w:w="3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Guidance</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CIO / CISO / Executive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Sections 1–5</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Stop. You have the full business case.</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Enterprise Architect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Sections 1–8</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Appendices A, C, E, F</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architectural context and control planes.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Implementation Engineer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Sections 7–11</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Appendices G, H, J</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Technical depth, runtime model, and parameters.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Program Manager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Sections 1–5, then 11–12</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Appendices H, I</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Business case through implementation path.</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Compliance / Legal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Sections 3–4</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C</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Mandate alignment and identity regimes.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Navigation Note:</w:t>
            </w:r>
            <w:r>
              <w:rPr>
                <w:rFonts w:ascii="Calibri" w:cs="Calibri" w:eastAsia="Calibri" w:hAnsi="Calibri"/>
                <w:b w:val="false"/>
                <w:bCs w:val="false"/>
                <w:i w:val="false"/>
                <w:iCs w:val="false"/>
                <w:strike w:val="false"/>
                <w:color w:val="000000"/>
                <w:sz w:val="22"/>
                <w:szCs w:val="22"/>
              </w:rPr>
              <w:t xml:space="preserve"> Each section includes "See Appendix X" references. Appendices include return links to their source section. This bidirectional referencing ensures traceability across the full canon.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4472C4" w:color="auto" w:val="clear"/>
            <w:tcMar>
              <w:top w:type="dxa" w:w="200"/>
              <w:left w:type="dxa" w:w="280"/>
              <w:bottom w:type="dxa" w:w="200"/>
              <w:right w:type="dxa" w:w="280"/>
            </w:tcMar>
          </w:tcPr>
          <w:p>
            <w:pPr>
              <w:spacing w:after="120" w:line="408" w:lineRule="auto"/>
            </w:pPr>
            <w:r>
              <w:t xml:space="preserve">Part I: Executive Framework</w:t>
            </w:r>
          </w:p>
        </w:tc>
      </w:tr>
    </w:tbl>
    <w:p>
      <w:pPr>
        <w:spacing w:after="240" w:before="0"/>
      </w:pPr>
    </w:p>
    <w:p>
      <w:pPr>
        <w:pStyle w:val="Heading1"/>
        <w:spacing w:after="100" w:before="600" w:line="360" w:lineRule="auto"/>
      </w:pPr>
      <w:r>
        <w:rPr>
          <w:rFonts w:ascii="Calibri" w:cs="Calibri" w:eastAsia="Calibri" w:hAnsi="Calibri"/>
          <w:color w:val="4472C4"/>
          <w:sz w:val="48"/>
          <w:szCs w:val="48"/>
        </w:rPr>
        <w:t xml:space="preserve">Section 1: Foreword and Core Thesis</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This document defines a cross-division modernization plan for federal hybrid-cloud environments. It unifies identity, addressing, boundaries, policy, and overlay transport so that every interaction — internal or public-facing — is modeled and managed as a </w:t>
      </w:r>
      <w:r>
        <w:rPr>
          <w:rFonts w:ascii="Calibri" w:cs="Calibri" w:eastAsia="Calibri" w:hAnsi="Calibri"/>
          <w:b/>
          <w:bCs/>
          <w:i w:val="false"/>
          <w:iCs w:val="false"/>
          <w:strike w:val="false"/>
          <w:color w:val="000000"/>
          <w:sz w:val="22"/>
          <w:szCs w:val="22"/>
        </w:rPr>
        <w:t xml:space="preserve">conversation</w:t>
      </w:r>
      <w:r>
        <w:rPr>
          <w:rFonts w:ascii="Calibri" w:cs="Calibri" w:eastAsia="Calibri" w:hAnsi="Calibri"/>
          <w:b w:val="false"/>
          <w:bCs w:val="false"/>
          <w:i w:val="false"/>
          <w:iCs w:val="false"/>
          <w:strike w:val="false"/>
          <w:color w:val="000000"/>
          <w:sz w:val="22"/>
          <w:szCs w:val="22"/>
        </w:rPr>
        <w:t xml:space="preserve">: a multi-layer state machine that carries identity, certificate metadata, policy intent, addressing, quality-of-service parameters, and telemetry.</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architecture enforces Zero Trust (NIST SP 800-207) and aligns with TIC 3.0, FedRAMP, FIPS 140-3, E911 dispatchable-location, and CISA CDM/CLAW telemetry requirements. It treats private endpoints as the default for agency workloads while managing secure public endpoints where mission requires citizen access.</w:t>
      </w:r>
    </w:p>
    <w:p>
      <w:pPr>
        <w:pStyle w:val="Heading3"/>
        <w:spacing w:after="120" w:before="280" w:line="360" w:lineRule="auto"/>
      </w:pPr>
      <w:r>
        <w:rPr>
          <w:rFonts w:ascii="Calibri" w:cs="Calibri" w:eastAsia="Calibri" w:hAnsi="Calibri"/>
          <w:color w:val="2B5797"/>
          <w:sz w:val="28"/>
          <w:szCs w:val="28"/>
        </w:rPr>
        <w:t xml:space="preserve">1.1 What This Document Is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 cross-division engineering blueprint and strategic modernization plan defining the UIAO Architecture and the appendix canon that expands each architectural domain. This is not a policy memo, a vendor pitch, or a high-level strategy brief. It is a complete, compilable, deterministic specification — the canonical source from which all derivative documents, briefings, control narratives, and implementation plans are generated.</w:t>
      </w:r>
    </w:p>
    <w:p>
      <w:pPr>
        <w:pStyle w:val="Heading3"/>
        <w:spacing w:after="120" w:before="280" w:line="360" w:lineRule="auto"/>
      </w:pPr>
      <w:r>
        <w:rPr>
          <w:rFonts w:ascii="Calibri" w:cs="Calibri" w:eastAsia="Calibri" w:hAnsi="Calibri"/>
          <w:color w:val="2B5797"/>
          <w:sz w:val="28"/>
          <w:szCs w:val="28"/>
        </w:rPr>
        <w:t xml:space="preserve">1.2 Core Thesis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federal government is structurally frozen at the Client/Server L2–L4 perimeter era. Identity-forward modernization — where identity becomes the root namespace and primary security perimeter — is the only path forward. Incremental patching of perimeter architectures cannot meet federal mandates or the modern threat landscape.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This thesis is not aspirational. It is the measured conclusion of systematic analysis across seventeen diagnostic points spanning compute history, networking evolution, cybersecurity architecture, federal procurement constraints, and modern compliance mandates. The evidence is catalogued in the 17-Point Modernization Canon (Section 5) and expanded across 104 canonical appendices.</w:t>
      </w:r>
    </w:p>
    <w:p>
      <w:pPr>
        <w:pStyle w:val="Heading3"/>
        <w:spacing w:after="120" w:before="280" w:line="360" w:lineRule="auto"/>
      </w:pPr>
      <w:r>
        <w:rPr>
          <w:rFonts w:ascii="Calibri" w:cs="Calibri" w:eastAsia="Calibri" w:hAnsi="Calibri"/>
          <w:color w:val="2B5797"/>
          <w:sz w:val="28"/>
          <w:szCs w:val="28"/>
        </w:rPr>
        <w:t xml:space="preserve">1.3 Design Principle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If it degrades the citizen interaction, it does not ship.</w:t>
            </w:r>
          </w:p>
        </w:tc>
      </w:tr>
    </w:tbl>
    <w:p>
      <w:pPr>
        <w:spacing w:after="24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Public service delivery — call centers, field offices, web and mobile, public APIs — is the primary mission. Every technical choice must preserve accessibility, privacy, continuity, and PII protection. Security architectures that impede citizen access or create friction at the point of service delivery fail the mission test regardless of their technical merit.</w:t>
      </w:r>
    </w:p>
    <w:p>
      <w:pPr>
        <w:pStyle w:val="Heading1"/>
        <w:spacing w:after="100" w:before="600" w:line="360" w:lineRule="auto"/>
      </w:pPr>
      <w:r>
        <w:rPr>
          <w:rFonts w:ascii="Calibri" w:cs="Calibri" w:eastAsia="Calibri" w:hAnsi="Calibri"/>
          <w:color w:val="4472C4"/>
          <w:sz w:val="48"/>
          <w:szCs w:val="48"/>
        </w:rPr>
        <w:t xml:space="preserve">Section 2: The Problem — Structural Freeze</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Most federal agencies are operating an architecture that was state-of-the-art in the late 1990s and has been incrementally patched ever since. The structural freeze is not a failure of individual teams or technologies — it is the emergent consequence of funding models, procurement timelines, and architectural assumptions that have calcified across eight interdependent domains.</w:t>
      </w:r>
    </w:p>
    <w:p>
      <w:pPr>
        <w:pStyle w:val="Heading3"/>
        <w:spacing w:after="120" w:before="280" w:line="360" w:lineRule="auto"/>
      </w:pPr>
      <w:r>
        <w:rPr>
          <w:rFonts w:ascii="Calibri" w:cs="Calibri" w:eastAsia="Calibri" w:hAnsi="Calibri"/>
          <w:color w:val="2B5797"/>
          <w:sz w:val="28"/>
          <w:szCs w:val="28"/>
        </w:rPr>
        <w:t xml:space="preserve">2.1 Eight Domains of Structural Freeze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w:t>
            </w:r>
          </w:p>
        </w:tc>
        <w:tc>
          <w:tcPr>
            <w:tcW w:type="pct" w:w="1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Domain</w:t>
            </w:r>
          </w:p>
        </w:tc>
        <w:tc>
          <w:tcPr>
            <w:tcW w:type="pct" w:w="7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Frozen State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Identity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On-prem Active Directory, siloed per division. No unified identity graph. Service accounts with static passwords.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Addressing</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Static IP managed in spreadsheets. No identity-to-address binding. Cloud workloads disconnected from IPAM.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Network Security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Perimeter firewalls (L3/L4). Binary trust (inside = trusted). No identity-aware segmentation.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Endpoint Management</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Mixed tooling, no unified posture signal feeding access decisions.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Application Delivery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Monolithic apps, no workload identity, local authentication per app.</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Telemetry</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SIEM collects logs but does not correlate identity, network, and application into unified conversations.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Governance</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Change management by email and tickets. No automated policy enforcement.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Protection</w:t>
            </w:r>
          </w:p>
        </w:tc>
        <w:tc>
          <w:tcPr>
            <w:tcW w:type="pct" w:w="7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Manual classification, noisy DLP, no data-aware routing or pseudonymization.</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2.2 Why Incremental Patching Fails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Incremental modernization — adding a cloud identity provider here, a SIEM upgrade there — fails because the frozen architecture contains five fundamental inversions that cannot be corrected by layering new tools atop the existing model: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identity model is inverted.</w:t>
      </w:r>
      <w:r>
        <w:rPr>
          <w:rFonts w:ascii="Calibri" w:cs="Calibri" w:eastAsia="Calibri" w:hAnsi="Calibri"/>
          <w:b w:val="false"/>
          <w:bCs w:val="false"/>
          <w:i w:val="false"/>
          <w:iCs w:val="false"/>
          <w:strike w:val="false"/>
          <w:color w:val="000000"/>
          <w:sz w:val="22"/>
          <w:szCs w:val="22"/>
        </w:rPr>
        <w:t xml:space="preserve"> The frozen model authenticates once at the perimeter and trusts implicitly thereafter. The required model evaluates continuous identity signals at every interaction.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network trust model is backwards.</w:t>
      </w:r>
      <w:r>
        <w:rPr>
          <w:rFonts w:ascii="Calibri" w:cs="Calibri" w:eastAsia="Calibri" w:hAnsi="Calibri"/>
          <w:b w:val="false"/>
          <w:bCs w:val="false"/>
          <w:i w:val="false"/>
          <w:iCs w:val="false"/>
          <w:strike w:val="false"/>
          <w:color w:val="000000"/>
          <w:sz w:val="22"/>
          <w:szCs w:val="22"/>
        </w:rPr>
        <w:t xml:space="preserve"> The frozen model treats the inside as trusted and the outside as untrusted. The required model verifies everything, regardless of network location.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telemetry model is disconnected.</w:t>
      </w:r>
      <w:r>
        <w:rPr>
          <w:rFonts w:ascii="Calibri" w:cs="Calibri" w:eastAsia="Calibri" w:hAnsi="Calibri"/>
          <w:b w:val="false"/>
          <w:bCs w:val="false"/>
          <w:i w:val="false"/>
          <w:iCs w:val="false"/>
          <w:strike w:val="false"/>
          <w:color w:val="000000"/>
          <w:sz w:val="22"/>
          <w:szCs w:val="22"/>
        </w:rPr>
        <w:t xml:space="preserve"> The frozen model collects siloed logs from individual systems. The required model correlates identity, network, application, and endpoint signals into conversation-level telemetry.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governance model is manual.</w:t>
      </w:r>
      <w:r>
        <w:rPr>
          <w:rFonts w:ascii="Calibri" w:cs="Calibri" w:eastAsia="Calibri" w:hAnsi="Calibri"/>
          <w:b w:val="false"/>
          <w:bCs w:val="false"/>
          <w:i w:val="false"/>
          <w:iCs w:val="false"/>
          <w:strike w:val="false"/>
          <w:color w:val="000000"/>
          <w:sz w:val="22"/>
          <w:szCs w:val="22"/>
        </w:rPr>
        <w:t xml:space="preserve"> The frozen model relies on human review, email approvals, and ticket-based change management. The required model enforces policy through automated, auditable workflows.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The data model has no control plane.</w:t>
      </w:r>
      <w:r>
        <w:rPr>
          <w:rFonts w:ascii="Calibri" w:cs="Calibri" w:eastAsia="Calibri" w:hAnsi="Calibri"/>
          <w:b w:val="false"/>
          <w:bCs w:val="false"/>
          <w:i w:val="false"/>
          <w:iCs w:val="false"/>
          <w:strike w:val="false"/>
          <w:color w:val="000000"/>
          <w:sz w:val="22"/>
          <w:szCs w:val="22"/>
        </w:rPr>
        <w:t xml:space="preserve"> The frozen model protects data at the perimeter. The required model attaches data-level controls that travel with the data across boundaries, clouds, and agencies.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The architecture must be rebuilt from the identity layer outward — not patched from the perimeter inward.</w:t>
            </w:r>
          </w:p>
        </w:tc>
      </w:tr>
    </w:tbl>
    <w:p>
      <w:pPr>
        <w:spacing w:after="240" w:before="0"/>
      </w:pPr>
    </w:p>
    <w:p>
      <w:pPr>
        <w:pStyle w:val="Heading1"/>
        <w:spacing w:after="100" w:before="600" w:line="360" w:lineRule="auto"/>
      </w:pPr>
      <w:r>
        <w:rPr>
          <w:rFonts w:ascii="Calibri" w:cs="Calibri" w:eastAsia="Calibri" w:hAnsi="Calibri"/>
          <w:color w:val="4472C4"/>
          <w:sz w:val="48"/>
          <w:szCs w:val="48"/>
        </w:rPr>
        <w:t xml:space="preserve">Section 3: The Compliance Clock and Cost of Inaction</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Federal mandates and directives are converging on specific architectural outcomes with real enforcement mechanisms and deadlines. The compliance landscape is no longer aspirational — it carries budget consequences, legal liability, and operational enforcement authority.</w:t>
      </w:r>
    </w:p>
    <w:p>
      <w:pPr>
        <w:pStyle w:val="Heading3"/>
        <w:spacing w:after="120" w:before="280" w:line="360" w:lineRule="auto"/>
      </w:pPr>
      <w:r>
        <w:rPr>
          <w:rFonts w:ascii="Calibri" w:cs="Calibri" w:eastAsia="Calibri" w:hAnsi="Calibri"/>
          <w:color w:val="2B5797"/>
          <w:sz w:val="28"/>
          <w:szCs w:val="28"/>
        </w:rPr>
        <w:t xml:space="preserve">3.1 Key Mandate Drivers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Driver Category</w:t>
            </w:r>
          </w:p>
        </w:tc>
        <w:tc>
          <w:tcPr>
            <w:tcW w:type="pct" w:w="3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Examples</w:t>
            </w:r>
          </w:p>
        </w:tc>
        <w:tc>
          <w:tcPr>
            <w:tcW w:type="pct" w:w="4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Architectural Impact</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Zero Trust Strategy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OMB M-22-09 and successor memoranda</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Identity-centric access, micro-segmentation, continuous verification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Advanced Logging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OMB M-21-31 and EO 14028 requirements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Conversation-level telemetry, centralized log aggregation, correlation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Binding Operational Directives</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BOD 22-01, BOD 23-01, BOD 23-02</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Asset visibility, vulnerability management, identity hygiene</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Civil Cyber-Fraud Enforcement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DOJ Civil Cyber-Fraud Initiative</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Misrepresented compliance creates legal liability for contractors and agencies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Modernized FISMA</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FISMA Modernization and Emergency Directive powers</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Continuous monitoring, real-time risk assessment, automated reporting</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3.2 Cost of Inaction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Failing to modernize exposes agencies to compounding risk across six dimensions: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Budget Impact:</w:t>
      </w:r>
      <w:r>
        <w:rPr>
          <w:rFonts w:ascii="Calibri" w:cs="Calibri" w:eastAsia="Calibri" w:hAnsi="Calibri"/>
          <w:b w:val="false"/>
          <w:bCs w:val="false"/>
          <w:i w:val="false"/>
          <w:iCs w:val="false"/>
          <w:strike w:val="false"/>
          <w:color w:val="000000"/>
          <w:sz w:val="22"/>
          <w:szCs w:val="22"/>
        </w:rPr>
        <w:t xml:space="preserve"> Modernization funding tied to compliance milestones; non-compliance risks budget reductions or reallocation.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Emergency Directives:</w:t>
      </w:r>
      <w:r>
        <w:rPr>
          <w:rFonts w:ascii="Calibri" w:cs="Calibri" w:eastAsia="Calibri" w:hAnsi="Calibri"/>
          <w:b w:val="false"/>
          <w:bCs w:val="false"/>
          <w:i w:val="false"/>
          <w:iCs w:val="false"/>
          <w:strike w:val="false"/>
          <w:color w:val="000000"/>
          <w:sz w:val="22"/>
          <w:szCs w:val="22"/>
        </w:rPr>
        <w:t xml:space="preserve"> CISA emergency directives can mandate immediate architectural changes with compressed timelines.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Negative Audit Findings:</w:t>
      </w:r>
      <w:r>
        <w:rPr>
          <w:rFonts w:ascii="Calibri" w:cs="Calibri" w:eastAsia="Calibri" w:hAnsi="Calibri"/>
          <w:b w:val="false"/>
          <w:bCs w:val="false"/>
          <w:i w:val="false"/>
          <w:iCs w:val="false"/>
          <w:strike w:val="false"/>
          <w:color w:val="000000"/>
          <w:sz w:val="22"/>
          <w:szCs w:val="22"/>
        </w:rPr>
        <w:t xml:space="preserve"> IG and GAO audits increasingly evaluate architectural posture, not just checklist compliance.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Legal Risk:</w:t>
      </w:r>
      <w:r>
        <w:rPr>
          <w:rFonts w:ascii="Calibri" w:cs="Calibri" w:eastAsia="Calibri" w:hAnsi="Calibri"/>
          <w:b w:val="false"/>
          <w:bCs w:val="false"/>
          <w:i w:val="false"/>
          <w:iCs w:val="false"/>
          <w:strike w:val="false"/>
          <w:color w:val="000000"/>
          <w:sz w:val="22"/>
          <w:szCs w:val="22"/>
        </w:rPr>
        <w:t xml:space="preserve"> Civil cyber-fraud enforcement creates personal and organizational liability for misrepresented security posture.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Mission Disruption:</w:t>
      </w:r>
      <w:r>
        <w:rPr>
          <w:rFonts w:ascii="Calibri" w:cs="Calibri" w:eastAsia="Calibri" w:hAnsi="Calibri"/>
          <w:b w:val="false"/>
          <w:bCs w:val="false"/>
          <w:i w:val="false"/>
          <w:iCs w:val="false"/>
          <w:strike w:val="false"/>
          <w:color w:val="000000"/>
          <w:sz w:val="22"/>
          <w:szCs w:val="22"/>
        </w:rPr>
        <w:t xml:space="preserve"> Frozen architectures cannot absorb new mission requirements without brittle, high-risk integrations.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Partner Integration Failure:</w:t>
      </w:r>
      <w:r>
        <w:rPr>
          <w:rFonts w:ascii="Calibri" w:cs="Calibri" w:eastAsia="Calibri" w:hAnsi="Calibri"/>
          <w:b w:val="false"/>
          <w:bCs w:val="false"/>
          <w:i w:val="false"/>
          <w:iCs w:val="false"/>
          <w:strike w:val="false"/>
          <w:color w:val="000000"/>
          <w:sz w:val="22"/>
          <w:szCs w:val="22"/>
        </w:rPr>
        <w:t xml:space="preserve"> Inability to securely integrate with state, federal, and international partners operating modern architectures.</w:t>
      </w: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C for the full compliance crosswalk and mandate-to-control mapping.</w:t>
      </w:r>
    </w:p>
    <w:p>
      <w:pPr>
        <w:pStyle w:val="Heading1"/>
        <w:spacing w:after="100" w:before="600" w:line="360" w:lineRule="auto"/>
      </w:pPr>
      <w:r>
        <w:rPr>
          <w:rFonts w:ascii="Calibri" w:cs="Calibri" w:eastAsia="Calibri" w:hAnsi="Calibri"/>
          <w:color w:val="4472C4"/>
          <w:sz w:val="48"/>
          <w:szCs w:val="48"/>
        </w:rPr>
        <w:t xml:space="preserve">Section 4: Federal Identity Fragmentation</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United States operates multiple disconnected identity regimes — each with different standards, issuance authorities, technology stacks, and legal frameworks. These regimes do not interoperate in a coherent enterprise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Identity Regime</w:t>
            </w:r>
          </w:p>
        </w:tc>
        <w:tc>
          <w:tcPr>
            <w:tcW w:type="pct" w:w="2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Population</w:t>
            </w:r>
          </w:p>
        </w:tc>
        <w:tc>
          <w:tcPr>
            <w:tcW w:type="pct" w:w="2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Primary Credential</w:t>
            </w:r>
          </w:p>
        </w:tc>
        <w:tc>
          <w:tcPr>
            <w:tcW w:type="pct" w:w="2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Governing Standard</w:t>
            </w:r>
          </w:p>
        </w:tc>
      </w:tr>
      <w:tr>
        <w:trPr>
          <w:tblHeader w:val="false"/>
        </w:trPr>
        <w:tc>
          <w:tcPr>
            <w:tcW w:type="pct" w:w="2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Federal Workforce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Federal employees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PIV / CAC smartcard</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HSPD-12, FIPS 201</w:t>
            </w:r>
          </w:p>
        </w:tc>
      </w:tr>
      <w:tr>
        <w:trPr>
          <w:tblHeader w:val="false"/>
        </w:trPr>
        <w:tc>
          <w:tcPr>
            <w:tcW w:type="pct" w:w="2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Citizen Digital Identity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Public users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Login.gov, ID.me, agency-specific</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NIST SP 800-63 (IAL/AAL/FAL)</w:t>
            </w:r>
          </w:p>
        </w:tc>
      </w:tr>
      <w:tr>
        <w:trPr>
          <w:tblHeader w:val="false"/>
        </w:trPr>
        <w:tc>
          <w:tcPr>
            <w:tcW w:type="pct" w:w="2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Passport / Travel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International travelers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ePassport, RFID chip</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ICAO 9303</w:t>
            </w:r>
          </w:p>
        </w:tc>
      </w:tr>
      <w:tr>
        <w:trPr>
          <w:tblHeader w:val="false"/>
        </w:trPr>
        <w:tc>
          <w:tcPr>
            <w:tcW w:type="pct" w:w="2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REAL ID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Domestic identity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State-issued driver's license</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REAL ID Act of 2005</w:t>
            </w:r>
          </w:p>
        </w:tc>
      </w:tr>
      <w:tr>
        <w:trPr>
          <w:tblHeader w:val="false"/>
        </w:trPr>
        <w:tc>
          <w:tcPr>
            <w:tcW w:type="pct" w:w="23%"/>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Contractor / Partner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Non-federal workforce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PIV-I, CBA, federated tokens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FICAM, NIST 800-63</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4.1 Consequences of Fragmentation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cross-regime lifecycle management — onboarding, role change, and offboarding are regime-specific.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shared identity graph — correlating a person across regimes requires manual reconciliation or ad-hoc matching.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technical interoperability across channels or missions — a citizen authenticated via Login.gov cannot seamlessly access a partner portal requiring PIV-I federation.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Redundant vetting and credentialing processes that increase cost and delay mission delivery.</w:t>
      </w:r>
    </w:p>
    <w:p>
      <w:pPr>
        <w:pStyle w:val="Heading3"/>
        <w:spacing w:after="120" w:before="280" w:line="360" w:lineRule="auto"/>
      </w:pPr>
      <w:r>
        <w:rPr>
          <w:rFonts w:ascii="Calibri" w:cs="Calibri" w:eastAsia="Calibri" w:hAnsi="Calibri"/>
          <w:color w:val="2B5797"/>
          <w:sz w:val="28"/>
          <w:szCs w:val="28"/>
        </w:rPr>
        <w:t xml:space="preserve">4.2 UIAO Identity Reconciliation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UIAO positions a </w:t>
      </w:r>
      <w:r>
        <w:rPr>
          <w:rFonts w:ascii="Calibri" w:cs="Calibri" w:eastAsia="Calibri" w:hAnsi="Calibri"/>
          <w:b/>
          <w:bCs/>
          <w:i w:val="false"/>
          <w:iCs w:val="false"/>
          <w:strike w:val="false"/>
          <w:color w:val="000000"/>
          <w:sz w:val="22"/>
          <w:szCs w:val="22"/>
        </w:rPr>
        <w:t xml:space="preserve">unified identity graph</w:t>
      </w:r>
      <w:r>
        <w:rPr>
          <w:rFonts w:ascii="Calibri" w:cs="Calibri" w:eastAsia="Calibri" w:hAnsi="Calibri"/>
          <w:b w:val="false"/>
          <w:bCs w:val="false"/>
          <w:i w:val="false"/>
          <w:iCs w:val="false"/>
          <w:strike w:val="false"/>
          <w:color w:val="000000"/>
          <w:sz w:val="22"/>
          <w:szCs w:val="22"/>
        </w:rPr>
        <w:t xml:space="preserve"> as the reconciliation layer that can federate and correlate these regimes while preserving their legal and assurance properties. The identity graph does not replace issuance authorities or legal frameworks — it provides a technical substrate for cross-regime correlation, lifecycle management, and policy evaluation.</w:t>
      </w: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A for identity architecture detail and Appendix C for compliance mapping.</w:t>
      </w:r>
    </w:p>
    <w:p>
      <w:pPr>
        <w:pStyle w:val="Heading1"/>
        <w:spacing w:after="100" w:before="600" w:line="360" w:lineRule="auto"/>
      </w:pPr>
      <w:r>
        <w:rPr>
          <w:rFonts w:ascii="Calibri" w:cs="Calibri" w:eastAsia="Calibri" w:hAnsi="Calibri"/>
          <w:color w:val="4472C4"/>
          <w:sz w:val="48"/>
          <w:szCs w:val="48"/>
        </w:rPr>
        <w:t xml:space="preserve">Section 5: The 17-Point Modernization Canon</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17-Point Modernization Canon is the diagnostic framework and architectural spine of UIAO. It organizes the complete problem space into three tiers that move from historical context through structural constraints to modern requirements.</w:t>
      </w:r>
    </w:p>
    <w:p>
      <w:pPr>
        <w:pStyle w:val="Heading3"/>
        <w:spacing w:after="120" w:before="280" w:line="360" w:lineRule="auto"/>
      </w:pPr>
      <w:r>
        <w:rPr>
          <w:rFonts w:ascii="Calibri" w:cs="Calibri" w:eastAsia="Calibri" w:hAnsi="Calibri"/>
          <w:color w:val="2B5797"/>
          <w:sz w:val="28"/>
          <w:szCs w:val="28"/>
        </w:rPr>
        <w:t xml:space="preserve">Tier 1 — Historical Foundations (Points 1–5)</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History of compute, networking, and cybersecurity evolution. Where federal environments are architecturally frozen and why. These points establish the baseline: the Client/Server era, the perimeter model, the rise and stall of identity management, and the emergence of cloud as an architectural forcing function.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Point</w:t>
            </w:r>
          </w:p>
        </w:tc>
        <w:tc>
          <w:tcPr>
            <w:tcW w:type="pct" w:w="28%"/>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Domain</w:t>
            </w:r>
          </w:p>
        </w:tc>
        <w:tc>
          <w:tcPr>
            <w:tcW w:type="pct" w:w="6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Focus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Compute History</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Mainframe → Client/Server → Cloud — and where federal froze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Networking History</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LAN → WAN → SD-WAN → Overlay — and where federal froze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Cybersecurity History</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Perimeter → Defense-in-Depth → Zero Trust — and where federal froze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History</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Directories → Federation → Identity-First — and where federal froze</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Cloud as Forcing Function</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Why cloud breaks every frozen assumption simultaneously</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Tier 2 — Structural Constraints (Points 6–10)</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Federal freeze points, bureaucratic overlays, funding model mismatches, and the gap between L2–L4 network-centric security and L5–L7 identity-centric security.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Point</w:t>
            </w:r>
          </w:p>
        </w:tc>
        <w:tc>
          <w:tcPr>
            <w:tcW w:type="pct" w:w="3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Domain</w:t>
            </w:r>
          </w:p>
        </w:tc>
        <w:tc>
          <w:tcPr>
            <w:tcW w:type="pct" w:w="58%"/>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Focus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Federal Freeze Analysis</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Why the freeze persists: procurement, FISMA, ATO cycles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Bureaucratic Overlay</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Organizational structures that reinforce architectural stasis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Funding Model Mismatch</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Annual appropriations vs. multi-year modernization timelines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L2–L4 vs. L5–L7 Gap</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The unaddressed gap between network controls and identity controls</w:t>
            </w:r>
          </w:p>
        </w:tc>
      </w:tr>
      <w:tr>
        <w:trPr>
          <w:tblHeader w:val="false"/>
        </w:trPr>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Vendor Lock and Integration Debt</w:t>
            </w:r>
          </w:p>
        </w:tc>
        <w:tc>
          <w:tcPr>
            <w:tcW w:type="pct" w:w="5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Accumulated integration complexity and vendor dependencies</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Tier 3 — Modern Requirements (Points 11–17)</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modern architectural requirements that frozen environments cannot meet: telemetry as control, location as input, new control planes, source-of-truth crisis, AI-driven correlation, inter-agency truth fabric, data as perimeter, and the obsolescence of legacy risk models.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Point</w:t>
            </w:r>
          </w:p>
        </w:tc>
        <w:tc>
          <w:tcPr>
            <w:tcW w:type="pct" w:w="3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Domain</w:t>
            </w:r>
          </w:p>
        </w:tc>
        <w:tc>
          <w:tcPr>
            <w:tcW w:type="pct" w:w="5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Focus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11</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Telemetry as Control Plane</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Telemetry drives decisions, not just reporting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12</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Location as Mandatory Input</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E911, dispatchable location, geo-policy enforcement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13</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New Control Planes</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IAM, IPAM, Asset, Endpoint as discrete control planes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14</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Source-of-Truth Crisis</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Multiple conflicting systems of record with no reconciliation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AI for Correlation</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Machine-speed correlation across identity, network, and telemetry</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Inter-Agency Truth Fabric</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Cross-agency identity, addressing, and trust federation</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17</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as Perimeter / Risk Model Reset</w:t>
            </w:r>
          </w:p>
        </w:tc>
        <w:tc>
          <w:tcPr>
            <w:tcW w:type="pct" w:w="5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Data-level controls replace perimeter; risk models require fundamental update</w:t>
            </w:r>
          </w:p>
        </w:tc>
      </w:tr>
    </w:tbl>
    <w:p>
      <w:pPr>
        <w:spacing w:after="20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Appendices A–E for expanded treatment of each canon point.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4472C4" w:color="auto" w:val="clear"/>
            <w:tcMar>
              <w:top w:type="dxa" w:w="200"/>
              <w:left w:type="dxa" w:w="280"/>
              <w:bottom w:type="dxa" w:w="200"/>
              <w:right w:type="dxa" w:w="280"/>
            </w:tcMar>
          </w:tcPr>
          <w:p>
            <w:pPr>
              <w:spacing w:after="120" w:line="408" w:lineRule="auto"/>
            </w:pPr>
            <w:r>
              <w:t xml:space="preserve">Part II: Core Architecture</w:t>
            </w:r>
          </w:p>
        </w:tc>
      </w:tr>
    </w:tbl>
    <w:p>
      <w:pPr>
        <w:spacing w:after="240" w:before="0"/>
      </w:pPr>
    </w:p>
    <w:p>
      <w:pPr>
        <w:pStyle w:val="Heading1"/>
        <w:spacing w:after="100" w:before="600" w:line="360" w:lineRule="auto"/>
      </w:pPr>
      <w:r>
        <w:rPr>
          <w:rFonts w:ascii="Calibri" w:cs="Calibri" w:eastAsia="Calibri" w:hAnsi="Calibri"/>
          <w:color w:val="4472C4"/>
          <w:sz w:val="48"/>
          <w:szCs w:val="48"/>
        </w:rPr>
        <w:t xml:space="preserve">Section 6: Core Model — Seven Fundamental Concepts</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UIAO architecture is built on seven fundamental concepts. These are not optional design preferences — they are the structural invariants that every component, policy, and implementation decision must satisfy.</w:t>
      </w:r>
    </w:p>
    <w:p>
      <w:pPr>
        <w:pStyle w:val="Heading3"/>
        <w:spacing w:after="120" w:before="280" w:line="360" w:lineRule="auto"/>
      </w:pPr>
      <w:r>
        <w:rPr>
          <w:rFonts w:ascii="Calibri" w:cs="Calibri" w:eastAsia="Calibri" w:hAnsi="Calibri"/>
          <w:color w:val="2B5797"/>
          <w:sz w:val="28"/>
          <w:szCs w:val="28"/>
        </w:rPr>
        <w:t xml:space="preserve">Concept 1: Conversation as the Atomic Unit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Every interaction — human-to-system, system-to-system, sensor-to-platform — is a </w:t>
      </w:r>
      <w:r>
        <w:rPr>
          <w:rFonts w:ascii="Calibri" w:cs="Calibri" w:eastAsia="Calibri" w:hAnsi="Calibri"/>
          <w:b/>
          <w:bCs/>
          <w:i w:val="false"/>
          <w:iCs w:val="false"/>
          <w:strike w:val="false"/>
          <w:color w:val="000000"/>
          <w:sz w:val="22"/>
          <w:szCs w:val="22"/>
        </w:rPr>
        <w:t xml:space="preserve">conversation</w:t>
      </w:r>
      <w:r>
        <w:rPr>
          <w:rFonts w:ascii="Calibri" w:cs="Calibri" w:eastAsia="Calibri" w:hAnsi="Calibri"/>
          <w:b w:val="false"/>
          <w:bCs w:val="false"/>
          <w:i w:val="false"/>
          <w:iCs w:val="false"/>
          <w:strike w:val="false"/>
          <w:color w:val="000000"/>
          <w:sz w:val="22"/>
          <w:szCs w:val="22"/>
        </w:rPr>
        <w:t xml:space="preserve">. A conversation is a multi-layer state machine that binds identity, certificates, addressing, path, quality-of-service parameters, and telemetry into a single observable, governable unit. The conversation is the atomic unit of security evaluation, telemetry correlation, and policy enforcement. There are no anonymous flows.</w:t>
      </w:r>
    </w:p>
    <w:p>
      <w:pPr>
        <w:pStyle w:val="Heading3"/>
        <w:spacing w:after="120" w:before="280" w:line="360" w:lineRule="auto"/>
      </w:pPr>
      <w:r>
        <w:rPr>
          <w:rFonts w:ascii="Calibri" w:cs="Calibri" w:eastAsia="Calibri" w:hAnsi="Calibri"/>
          <w:color w:val="2B5797"/>
          <w:sz w:val="28"/>
          <w:szCs w:val="28"/>
        </w:rPr>
        <w:t xml:space="preserve">Concept 2: Identity as Root Namespace</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Every IP address, certificate, subnet, policy, and telemetry event is derived from or bound to identity. Identity is not a service that other systems consume — it is the root namespace from which all other namespaces (addressing, naming, policy, telemetry) inherit their structure and authority. If an object cannot be traced to an identity, it has no standing in the architecture.</w:t>
      </w:r>
    </w:p>
    <w:p>
      <w:pPr>
        <w:pStyle w:val="Heading3"/>
        <w:spacing w:after="120" w:before="280" w:line="360" w:lineRule="auto"/>
      </w:pPr>
      <w:r>
        <w:rPr>
          <w:rFonts w:ascii="Calibri" w:cs="Calibri" w:eastAsia="Calibri" w:hAnsi="Calibri"/>
          <w:color w:val="2B5797"/>
          <w:sz w:val="28"/>
          <w:szCs w:val="28"/>
        </w:rPr>
        <w:t xml:space="preserve">Concept 3: Deterministic Addressing</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Addressing is derived from identity attributes and policy — not from ad-hoc assignment, spreadsheets, or first-available allocation. Given a set of identity attributes and policy conditions, the address assignment is deterministic and reproducible. This enables automated reconciliation, drift detection, and forensic reconstruction.</w:t>
      </w:r>
    </w:p>
    <w:p>
      <w:pPr>
        <w:pStyle w:val="Heading3"/>
        <w:spacing w:after="120" w:before="280" w:line="360" w:lineRule="auto"/>
      </w:pPr>
      <w:r>
        <w:rPr>
          <w:rFonts w:ascii="Calibri" w:cs="Calibri" w:eastAsia="Calibri" w:hAnsi="Calibri"/>
          <w:color w:val="2B5797"/>
          <w:sz w:val="28"/>
          <w:szCs w:val="28"/>
        </w:rPr>
        <w:t xml:space="preserve">Concept 4: Certificate-Anchored Overlay</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Certificates and mutual TLS anchor tunnel and service authentication. Tokens that travel with flows carry identity claims, assurance levels, and policy context. The overlay network is not an IP tunnel — it is a certificate-anchored, identity-aware transport that binds conversations to authenticated endpoints.</w:t>
      </w:r>
    </w:p>
    <w:p>
      <w:pPr>
        <w:pStyle w:val="Heading3"/>
        <w:spacing w:after="120" w:before="280" w:line="360" w:lineRule="auto"/>
      </w:pPr>
      <w:r>
        <w:rPr>
          <w:rFonts w:ascii="Calibri" w:cs="Calibri" w:eastAsia="Calibri" w:hAnsi="Calibri"/>
          <w:color w:val="2B5797"/>
          <w:sz w:val="28"/>
          <w:szCs w:val="28"/>
        </w:rPr>
        <w:t xml:space="preserve">Concept 5: Telemetry as Control</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Telemetry is a control plane input to automated decisions, not a passive reporting stream. Telemetry signals — device posture, authentication events, network anomalies, application behavior — feed continuous policy evaluation and trigger automated responses. The telemetry pipeline is as mission-critical as the identity pipeline.</w:t>
      </w:r>
    </w:p>
    <w:p>
      <w:pPr>
        <w:pStyle w:val="Heading3"/>
        <w:spacing w:after="120" w:before="280" w:line="360" w:lineRule="auto"/>
      </w:pPr>
      <w:r>
        <w:rPr>
          <w:rFonts w:ascii="Calibri" w:cs="Calibri" w:eastAsia="Calibri" w:hAnsi="Calibri"/>
          <w:color w:val="2B5797"/>
          <w:sz w:val="28"/>
          <w:szCs w:val="28"/>
        </w:rPr>
        <w:t xml:space="preserve">Concept 6: Embedded Governance and Automation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Governance is executed through orchestrated workflows — not manual tickets, email approvals, or committee meetings. Change requests, policy updates, access reviews, and compliance assessments are automated, auditable, and traceable to the identity and policy that authorized them.</w:t>
      </w:r>
    </w:p>
    <w:p>
      <w:pPr>
        <w:pStyle w:val="Heading3"/>
        <w:spacing w:after="120" w:before="280" w:line="360" w:lineRule="auto"/>
      </w:pPr>
      <w:r>
        <w:rPr>
          <w:rFonts w:ascii="Calibri" w:cs="Calibri" w:eastAsia="Calibri" w:hAnsi="Calibri"/>
          <w:color w:val="2B5797"/>
          <w:sz w:val="28"/>
          <w:szCs w:val="28"/>
        </w:rPr>
        <w:t xml:space="preserve">Concept 7: Public Service First</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Citizen experience, accessibility, and privacy are top-level design constraints — not afterthoughts. Every architectural decision is evaluated against its impact on public service delivery. Security controls that degrade citizen access without measurable risk reduction are rejected.</w:t>
      </w:r>
    </w:p>
    <w:p>
      <w:pPr>
        <w:pStyle w:val="Heading1"/>
        <w:spacing w:after="100" w:before="600" w:line="360" w:lineRule="auto"/>
      </w:pPr>
      <w:r>
        <w:rPr>
          <w:rFonts w:ascii="Calibri" w:cs="Calibri" w:eastAsia="Calibri" w:hAnsi="Calibri"/>
          <w:color w:val="4472C4"/>
          <w:sz w:val="48"/>
          <w:szCs w:val="48"/>
        </w:rPr>
        <w:t xml:space="preserve">Section 7: Source of Authority — The Chain of Authoritative Truth</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Every system has a Single Source of Truth (SSOT), but UIAO demands explicit </w:t>
      </w:r>
      <w:r>
        <w:rPr>
          <w:rFonts w:ascii="Calibri" w:cs="Calibri" w:eastAsia="Calibri" w:hAnsi="Calibri"/>
          <w:b/>
          <w:bCs/>
          <w:i w:val="false"/>
          <w:iCs w:val="false"/>
          <w:strike w:val="false"/>
          <w:color w:val="000000"/>
          <w:sz w:val="22"/>
          <w:szCs w:val="22"/>
        </w:rPr>
        <w:t xml:space="preserve">Source of Authority (SoA)</w:t>
      </w:r>
      <w:r>
        <w:rPr>
          <w:rFonts w:ascii="Calibri" w:cs="Calibri" w:eastAsia="Calibri" w:hAnsi="Calibri"/>
          <w:b w:val="false"/>
          <w:bCs w:val="false"/>
          <w:i w:val="false"/>
          <w:iCs w:val="false"/>
          <w:strike w:val="false"/>
          <w:color w:val="000000"/>
          <w:sz w:val="22"/>
          <w:szCs w:val="22"/>
        </w:rPr>
        <w:t xml:space="preserve"> definitions. The SoA is not "where the data lives" — it is "who has the authority to assert this data is correct and current." Misalignment between SSOT and SoA leads directly to incorrect trust decisions.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w:t>
            </w:r>
          </w:p>
        </w:tc>
        <w:tc>
          <w:tcPr>
            <w:tcW w:type="pct" w:w="2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SoA Domain</w:t>
            </w:r>
          </w:p>
        </w:tc>
        <w:tc>
          <w:tcPr>
            <w:tcW w:type="pct" w:w="2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Authority</w:t>
            </w:r>
          </w:p>
        </w:tc>
        <w:tc>
          <w:tcPr>
            <w:tcW w:type="pct" w:w="3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System of Record</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Human Identity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Human Resources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HR System → Identity Provider</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Non-Person Entities (NPE)</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Service Owners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and Asset Management Systems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Contractor Identity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Contracting Authority</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Contracting System → Identity Provider</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4</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Citizen Identity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Citizen (self-asserted, proofed)</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Federated Identity Providers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IP Addressing</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 Architecture</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Enterprise IPAM</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6</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Assets &amp; Configuration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System Owners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CMDB / Asset Management</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7</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Data Classification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Data Owners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Policy Engines / DLP</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8</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Physical &amp; Interior Location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Real Property Authority</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Facility Management → Addressing</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9</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State &amp; Federal Partner Authority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Shared or Delegated Authorities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Federation Agreements / MOAs</w:t>
            </w:r>
          </w:p>
        </w:tc>
      </w:tr>
      <w:tr>
        <w:trPr>
          <w:tblHeader w:val="false"/>
        </w:trPr>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c>
          <w:tcPr>
            <w:tcW w:type="pct" w:w="2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Credential Trust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Federal PKI &amp; Trust Frameworks</w:t>
            </w:r>
          </w:p>
        </w:tc>
        <w:tc>
          <w:tcPr>
            <w:tcW w:type="pct" w:w="3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PKI Bridge / Trust Anchors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Critical:</w:t>
            </w:r>
            <w:r>
              <w:rPr>
                <w:rFonts w:ascii="Calibri" w:cs="Calibri" w:eastAsia="Calibri" w:hAnsi="Calibri"/>
                <w:b w:val="false"/>
                <w:bCs w:val="false"/>
                <w:i w:val="false"/>
                <w:iCs w:val="false"/>
                <w:strike w:val="false"/>
                <w:color w:val="000000"/>
                <w:sz w:val="22"/>
                <w:szCs w:val="22"/>
              </w:rPr>
              <w:t xml:space="preserve"> Misalignment between SSOT and SoA leads directly to incorrect trust decisions. When the system of record diverges from the authoritative source, every downstream decision — access, policy, telemetry, audit — inherits that error.</w:t>
            </w:r>
          </w:p>
        </w:tc>
      </w:tr>
    </w:tbl>
    <w:p>
      <w:pPr>
        <w:spacing w:after="24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A for identity SoA detail; Appendix C for addressing SoA; Appendix E for cross-plane authority mapping.</w:t>
      </w:r>
    </w:p>
    <w:p>
      <w:pPr>
        <w:pStyle w:val="Heading1"/>
        <w:spacing w:after="100" w:before="600" w:line="360" w:lineRule="auto"/>
      </w:pPr>
      <w:r>
        <w:rPr>
          <w:rFonts w:ascii="Calibri" w:cs="Calibri" w:eastAsia="Calibri" w:hAnsi="Calibri"/>
          <w:color w:val="4472C4"/>
          <w:sz w:val="48"/>
          <w:szCs w:val="48"/>
        </w:rPr>
        <w:t xml:space="preserve">Section 8: Architecture Overview — Identity Layer</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identity layer is the foundation of UIAO. All other layers — addressing, boundary, policy, telemetry, overlay — derive their authority and structure from identity. The identity layer is not a single product or service; it is an architectural pattern implemented across multiple systems with strict SoA alignment.</w:t>
      </w:r>
    </w:p>
    <w:p>
      <w:pPr>
        <w:pStyle w:val="Heading3"/>
        <w:spacing w:after="120" w:before="280" w:line="360" w:lineRule="auto"/>
      </w:pPr>
      <w:r>
        <w:rPr>
          <w:rFonts w:ascii="Calibri" w:cs="Calibri" w:eastAsia="Calibri" w:hAnsi="Calibri"/>
          <w:color w:val="2B5797"/>
          <w:sz w:val="28"/>
          <w:szCs w:val="28"/>
        </w:rPr>
        <w:t xml:space="preserve">8.1 Key Architectural Elements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Element</w:t>
            </w:r>
          </w:p>
        </w:tc>
        <w:tc>
          <w:tcPr>
            <w:tcW w:type="pct" w:w="3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Function</w:t>
            </w:r>
          </w:p>
        </w:tc>
        <w:tc>
          <w:tcPr>
            <w:tcW w:type="pct" w:w="3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UIAO Role</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Unified Directory &amp; Claims Engine</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Consolidated identity store with attribute-based claims issuance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Root namespace for all identity-derived objects</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PKI &amp; Automated Certificate Issuance</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Certificates for people, devices, workloads, and services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Certificate anchoring for overlay and mTLS</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Mutual TLS &amp; Certificate-Bound Tokens</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Service-to-service authentication with bound tokens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Conversation-level authentication continuity</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Multi-Factor Authentication &amp; Device Attestation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FIDO2 / PIV / CAC with device health signals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Continuous assurance evaluation input</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Citizen Identity Federation</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Standards-based federation (SAML, OIDC) with proofing levels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Public-facing identity integration</w:t>
            </w:r>
          </w:p>
        </w:tc>
      </w:tr>
      <w:tr>
        <w:trPr>
          <w:tblHeader w:val="false"/>
        </w:trPr>
        <w:tc>
          <w:tcPr>
            <w:tcW w:type="pct" w:w="3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Non-Person-Entity Lifecycle</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Assurance levels, enforced lifecycle, sponsorship requirements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NPE governance and accountability</w:t>
            </w:r>
          </w:p>
        </w:tc>
      </w:tr>
    </w:tbl>
    <w:p>
      <w:pPr>
        <w:spacing w:after="20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A for full identity layer specification.</w:t>
      </w:r>
    </w:p>
    <w:p>
      <w:pPr>
        <w:pStyle w:val="Heading1"/>
        <w:spacing w:after="100" w:before="600" w:line="360" w:lineRule="auto"/>
      </w:pPr>
      <w:r>
        <w:rPr>
          <w:rFonts w:ascii="Calibri" w:cs="Calibri" w:eastAsia="Calibri" w:hAnsi="Calibri"/>
          <w:color w:val="4472C4"/>
          <w:sz w:val="48"/>
          <w:szCs w:val="48"/>
        </w:rPr>
        <w:t xml:space="preserve">Section 9: Architecture Overview — Addressing and Boundary Layers</w:t>
      </w:r>
    </w:p>
    <w:p>
      <w:pPr>
        <w:pBdr>
          <w:top w:val="single" w:color="4472C4" w:sz="6"/>
        </w:pBdr>
        <w:spacing w:after="200" w:before="0"/>
      </w:pPr>
    </w:p>
    <w:p>
      <w:pPr>
        <w:pStyle w:val="Heading3"/>
        <w:spacing w:after="120" w:before="280" w:line="360" w:lineRule="auto"/>
      </w:pPr>
      <w:r>
        <w:rPr>
          <w:rFonts w:ascii="Calibri" w:cs="Calibri" w:eastAsia="Calibri" w:hAnsi="Calibri"/>
          <w:color w:val="2B5797"/>
          <w:sz w:val="28"/>
          <w:szCs w:val="28"/>
        </w:rPr>
        <w:t xml:space="preserve">9.1 Addressing Layer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addressing layer provides deterministic, identity-aware IP and naming. Central IPAM serves as the Single Source of Truth for all address assignments, DNS entries, and namespace management. Addressing is not allocated on request — it is computed from identity attributes and policy conditions.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Element</w:t>
            </w:r>
          </w:p>
        </w:tc>
        <w:tc>
          <w:tcPr>
            <w:tcW w:type="pct" w:w="7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Function</w:t>
            </w:r>
          </w:p>
        </w:tc>
      </w:tr>
      <w:tr>
        <w:trPr>
          <w:tblHeader w:val="false"/>
        </w:trPr>
        <w:tc>
          <w:tcPr>
            <w:tcW w:type="pct" w:w="3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Central IPAM as SSOT</w:t>
            </w:r>
          </w:p>
        </w:tc>
        <w:tc>
          <w:tcPr>
            <w:tcW w:type="pct" w:w="7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Authoritative source for all IP addresses, subnets, and DNS records</w:t>
            </w:r>
          </w:p>
        </w:tc>
      </w:tr>
      <w:tr>
        <w:trPr>
          <w:tblHeader w:val="false"/>
        </w:trPr>
        <w:tc>
          <w:tcPr>
            <w:tcW w:type="pct" w:w="3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Identity-Derived Addressing</w:t>
            </w:r>
          </w:p>
        </w:tc>
        <w:tc>
          <w:tcPr>
            <w:tcW w:type="pct" w:w="7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Address assignment computed from identity attributes and policy</w:t>
            </w:r>
          </w:p>
        </w:tc>
      </w:tr>
      <w:tr>
        <w:trPr>
          <w:tblHeader w:val="false"/>
        </w:trPr>
        <w:tc>
          <w:tcPr>
            <w:tcW w:type="pct" w:w="3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Cloud IPAM Reconciliation</w:t>
            </w:r>
          </w:p>
        </w:tc>
        <w:tc>
          <w:tcPr>
            <w:tcW w:type="pct" w:w="7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Automated sync between enterprise IPAM and cloud-native IPAM systems</w:t>
            </w:r>
          </w:p>
        </w:tc>
      </w:tr>
      <w:tr>
        <w:trPr>
          <w:tblHeader w:val="false"/>
        </w:trPr>
        <w:tc>
          <w:tcPr>
            <w:tcW w:type="pct" w:w="3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Deterministic Segmentation</w:t>
            </w:r>
          </w:p>
        </w:tc>
        <w:tc>
          <w:tcPr>
            <w:tcW w:type="pct" w:w="7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 segments derived from identity and boundary policy, not static VLANs</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9.2 Boundary Layer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boundary layer defines logical and physical containment, segmentation, and trust levels. Boundaries are not network perimeters — they are policy-enforced containment zones that can span physical sites, cloud regions, and partner environments.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Element</w:t>
            </w:r>
          </w:p>
        </w:tc>
        <w:tc>
          <w:tcPr>
            <w:tcW w:type="pct" w:w="7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Function</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Boundary Classes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Categorization of containment zones by trust level, data sensitivity, and regulatory scope</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Trust Levels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Graduated trust mapped to identity assurance, device posture, and network context</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Microsegmentation</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Identity-aware network enforcement at the workload level</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Cross-Boundary Policy</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Rules governing conversation traversal between boundary classes</w:t>
            </w:r>
          </w:p>
        </w:tc>
      </w:tr>
    </w:tbl>
    <w:p>
      <w:pPr>
        <w:spacing w:after="20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B for network architecture; Appendix C for addressing specification.</w:t>
      </w:r>
    </w:p>
    <w:p>
      <w:pPr>
        <w:pStyle w:val="Heading1"/>
        <w:spacing w:after="100" w:before="600" w:line="360" w:lineRule="auto"/>
      </w:pPr>
      <w:r>
        <w:rPr>
          <w:rFonts w:ascii="Calibri" w:cs="Calibri" w:eastAsia="Calibri" w:hAnsi="Calibri"/>
          <w:color w:val="4472C4"/>
          <w:sz w:val="48"/>
          <w:szCs w:val="48"/>
        </w:rPr>
        <w:t xml:space="preserve">Section 10: Architecture Overview — Policy and Telemetry Layers</w:t>
      </w:r>
    </w:p>
    <w:p>
      <w:pPr>
        <w:pBdr>
          <w:top w:val="single" w:color="4472C4" w:sz="6"/>
        </w:pBdr>
        <w:spacing w:after="200" w:before="0"/>
      </w:pPr>
    </w:p>
    <w:p>
      <w:pPr>
        <w:pStyle w:val="Heading3"/>
        <w:spacing w:after="120" w:before="280" w:line="360" w:lineRule="auto"/>
      </w:pPr>
      <w:r>
        <w:rPr>
          <w:rFonts w:ascii="Calibri" w:cs="Calibri" w:eastAsia="Calibri" w:hAnsi="Calibri"/>
          <w:color w:val="2B5797"/>
          <w:sz w:val="28"/>
          <w:szCs w:val="28"/>
        </w:rPr>
        <w:t xml:space="preserve">10.1 Policy Layer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Policy defines what an identity may do, under what conditions, in which boundaries, with what assurance, and against which resources and telemetry evidence. The policy layer is the decision engine of UIAO.</w:t>
      </w:r>
    </w:p>
    <w:p>
      <w:pPr>
        <w:spacing w:after="120" w:before="60" w:line="360" w:lineRule="auto"/>
        <w:jc w:val="both"/>
      </w:pPr>
      <w:r>
        <w:rPr>
          <w:rFonts w:ascii="Calibri" w:cs="Calibri" w:eastAsia="Calibri" w:hAnsi="Calibri"/>
          <w:b/>
          <w:bCs/>
          <w:i w:val="false"/>
          <w:iCs w:val="false"/>
          <w:strike w:val="false"/>
          <w:color w:val="000000"/>
          <w:sz w:val="22"/>
          <w:szCs w:val="22"/>
        </w:rPr>
        <w:t xml:space="preserve">Policy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Declarative:</w:t>
      </w:r>
      <w:r>
        <w:rPr>
          <w:rFonts w:ascii="Calibri" w:cs="Calibri" w:eastAsia="Calibri" w:hAnsi="Calibri"/>
          <w:b w:val="false"/>
          <w:bCs w:val="false"/>
          <w:i w:val="false"/>
          <w:iCs w:val="false"/>
          <w:strike w:val="false"/>
          <w:color w:val="000000"/>
          <w:sz w:val="22"/>
          <w:szCs w:val="22"/>
        </w:rPr>
        <w:t xml:space="preserve"> Policies express intent, not implementation.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w:t>
      </w:r>
      <w:r>
        <w:rPr>
          <w:rFonts w:ascii="Calibri" w:cs="Calibri" w:eastAsia="Calibri" w:hAnsi="Calibri"/>
          <w:b w:val="false"/>
          <w:bCs w:val="false"/>
          <w:i w:val="false"/>
          <w:iCs w:val="false"/>
          <w:strike w:val="false"/>
          <w:color w:val="000000"/>
          <w:sz w:val="22"/>
          <w:szCs w:val="22"/>
        </w:rPr>
        <w:t xml:space="preserve"> Given the same inputs, the policy engine produces the same decision.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Identity-Centric:</w:t>
      </w:r>
      <w:r>
        <w:rPr>
          <w:rFonts w:ascii="Calibri" w:cs="Calibri" w:eastAsia="Calibri" w:hAnsi="Calibri"/>
          <w:b w:val="false"/>
          <w:bCs w:val="false"/>
          <w:i w:val="false"/>
          <w:iCs w:val="false"/>
          <w:strike w:val="false"/>
          <w:color w:val="000000"/>
          <w:sz w:val="22"/>
          <w:szCs w:val="22"/>
        </w:rPr>
        <w:t xml:space="preserve"> Every policy references identity as the primary subject.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Boundary-Aware:</w:t>
      </w:r>
      <w:r>
        <w:rPr>
          <w:rFonts w:ascii="Calibri" w:cs="Calibri" w:eastAsia="Calibri" w:hAnsi="Calibri"/>
          <w:b w:val="false"/>
          <w:bCs w:val="false"/>
          <w:i w:val="false"/>
          <w:iCs w:val="false"/>
          <w:strike w:val="false"/>
          <w:color w:val="000000"/>
          <w:sz w:val="22"/>
          <w:szCs w:val="22"/>
        </w:rPr>
        <w:t xml:space="preserve"> Policies evaluate the boundary context of both subject and resource.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Telemetry-Informed:</w:t>
      </w:r>
      <w:r>
        <w:rPr>
          <w:rFonts w:ascii="Calibri" w:cs="Calibri" w:eastAsia="Calibri" w:hAnsi="Calibri"/>
          <w:b w:val="false"/>
          <w:bCs w:val="false"/>
          <w:i w:val="false"/>
          <w:iCs w:val="false"/>
          <w:strike w:val="false"/>
          <w:color w:val="000000"/>
          <w:sz w:val="22"/>
          <w:szCs w:val="22"/>
        </w:rPr>
        <w:t xml:space="preserve"> Policies consume telemetry signals as real-time evaluation inputs.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Cloud-Agnostic:</w:t>
      </w:r>
      <w:r>
        <w:rPr>
          <w:rFonts w:ascii="Calibri" w:cs="Calibri" w:eastAsia="Calibri" w:hAnsi="Calibri"/>
          <w:b w:val="false"/>
          <w:bCs w:val="false"/>
          <w:i w:val="false"/>
          <w:iCs w:val="false"/>
          <w:strike w:val="false"/>
          <w:color w:val="000000"/>
          <w:sz w:val="22"/>
          <w:szCs w:val="22"/>
        </w:rPr>
        <w:t xml:space="preserve"> Policies are expressed independently of cloud provider primitives.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Immutable:</w:t>
      </w:r>
      <w:r>
        <w:rPr>
          <w:rFonts w:ascii="Calibri" w:cs="Calibri" w:eastAsia="Calibri" w:hAnsi="Calibri"/>
          <w:b w:val="false"/>
          <w:bCs w:val="false"/>
          <w:i w:val="false"/>
          <w:iCs w:val="false"/>
          <w:strike w:val="false"/>
          <w:color w:val="000000"/>
          <w:sz w:val="22"/>
          <w:szCs w:val="22"/>
        </w:rPr>
        <w:t xml:space="preserve"> Policies change only through governed, auditable change processes.</w:t>
      </w:r>
    </w:p>
    <w:p>
      <w:pPr>
        <w:pStyle w:val="Heading3"/>
        <w:spacing w:after="120" w:before="280" w:line="360" w:lineRule="auto"/>
      </w:pPr>
      <w:r>
        <w:rPr>
          <w:rFonts w:ascii="Calibri" w:cs="Calibri" w:eastAsia="Calibri" w:hAnsi="Calibri"/>
          <w:color w:val="2B5797"/>
          <w:sz w:val="28"/>
          <w:szCs w:val="28"/>
        </w:rPr>
        <w:t xml:space="preserve">10.2 Telemetry Layer</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Telemetry aggregates signals from identity, devices, networks, applications, and overlays. It normalizes events into conversation-centric schemas and drives closed-loop control.</w:t>
      </w:r>
    </w:p>
    <w:p>
      <w:pPr>
        <w:spacing w:after="120" w:before="60" w:line="360" w:lineRule="auto"/>
        <w:jc w:val="both"/>
      </w:pPr>
      <w:r>
        <w:rPr>
          <w:rFonts w:ascii="Calibri" w:cs="Calibri" w:eastAsia="Calibri" w:hAnsi="Calibri"/>
          <w:b/>
          <w:bCs/>
          <w:i w:val="false"/>
          <w:iCs w:val="false"/>
          <w:strike w:val="false"/>
          <w:color w:val="000000"/>
          <w:sz w:val="22"/>
          <w:szCs w:val="22"/>
        </w:rPr>
        <w:t xml:space="preserve">Closed-Loop Control 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Phase</w:t>
            </w:r>
          </w:p>
        </w:tc>
        <w:tc>
          <w:tcPr>
            <w:tcW w:type="pct" w:w="4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Function</w:t>
            </w:r>
          </w:p>
        </w:tc>
        <w:tc>
          <w:tcPr>
            <w:tcW w:type="pct" w:w="4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Output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Detect</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Signal collection from all planes</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Raw events normalized to schema</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Capture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Conversation binding and enrichment</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Enriched conversation-centric records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Correlate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Cross-plane correlation and anomaly detection</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Correlated findings and risk scores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Remediate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Automated response and policy adjustment</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Enforcement actions and policy updates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Report</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Compliance reporting and audit trail</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CISA CDM/CLAW feeds, audit records</w:t>
            </w:r>
          </w:p>
        </w:tc>
      </w:tr>
    </w:tbl>
    <w:p>
      <w:pPr>
        <w:spacing w:after="20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Appendix D for telemetry specification; Appendix E for TIC 3.0 alignment.</w:t>
      </w:r>
    </w:p>
    <w:p>
      <w:pPr>
        <w:pStyle w:val="Heading1"/>
        <w:spacing w:after="100" w:before="600" w:line="360" w:lineRule="auto"/>
      </w:pPr>
      <w:r>
        <w:rPr>
          <w:rFonts w:ascii="Calibri" w:cs="Calibri" w:eastAsia="Calibri" w:hAnsi="Calibri"/>
          <w:color w:val="4472C4"/>
          <w:sz w:val="48"/>
          <w:szCs w:val="48"/>
        </w:rPr>
        <w:t xml:space="preserve">Section 11: Runtime Model — Conversations and Evaluation</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At runtime, UIAO operates on conversations. The conversation is the observable, governable unit that carries all architectural guarantees from initiation through completion.</w:t>
      </w:r>
    </w:p>
    <w:p>
      <w:pPr>
        <w:pStyle w:val="Heading3"/>
        <w:spacing w:after="120" w:before="280" w:line="360" w:lineRule="auto"/>
      </w:pPr>
      <w:r>
        <w:rPr>
          <w:rFonts w:ascii="Calibri" w:cs="Calibri" w:eastAsia="Calibri" w:hAnsi="Calibri"/>
          <w:color w:val="2B5797"/>
          <w:sz w:val="28"/>
          <w:szCs w:val="28"/>
        </w:rPr>
        <w:t xml:space="preserve">11.1 Conversation Lifecycle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Initiation:</w:t>
      </w:r>
      <w:r>
        <w:rPr>
          <w:rFonts w:ascii="Calibri" w:cs="Calibri" w:eastAsia="Calibri" w:hAnsi="Calibri"/>
          <w:b w:val="false"/>
          <w:bCs w:val="false"/>
          <w:i w:val="false"/>
          <w:iCs w:val="false"/>
          <w:strike w:val="false"/>
          <w:color w:val="000000"/>
          <w:sz w:val="22"/>
          <w:szCs w:val="22"/>
        </w:rPr>
        <w:t xml:space="preserve"> A conversation is initiated by an identity (human or NPE). The initiating identity's assurance level, device posture, and boundary context are established.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Addressing &amp; Boundary Selection:</w:t>
      </w:r>
      <w:r>
        <w:rPr>
          <w:rFonts w:ascii="Calibri" w:cs="Calibri" w:eastAsia="Calibri" w:hAnsi="Calibri"/>
          <w:b w:val="false"/>
          <w:bCs w:val="false"/>
          <w:i w:val="false"/>
          <w:iCs w:val="false"/>
          <w:strike w:val="false"/>
          <w:color w:val="000000"/>
          <w:sz w:val="22"/>
          <w:szCs w:val="22"/>
        </w:rPr>
        <w:t xml:space="preserve"> Addressing and boundaries are selected based on identity attributes and policy conditions. Deterministic addressing ensures reproducibility.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Authenticated Path Establishment:</w:t>
      </w:r>
      <w:r>
        <w:rPr>
          <w:rFonts w:ascii="Calibri" w:cs="Calibri" w:eastAsia="Calibri" w:hAnsi="Calibri"/>
          <w:b w:val="false"/>
          <w:bCs w:val="false"/>
          <w:i w:val="false"/>
          <w:iCs w:val="false"/>
          <w:strike w:val="false"/>
          <w:color w:val="000000"/>
          <w:sz w:val="22"/>
          <w:szCs w:val="22"/>
        </w:rPr>
        <w:t xml:space="preserve"> Certificates and overlays establish mutually authenticated paths. mTLS anchors the transport; certificate-bound tokens carry identity claims.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Telemetry Binding:</w:t>
      </w:r>
      <w:r>
        <w:rPr>
          <w:rFonts w:ascii="Calibri" w:cs="Calibri" w:eastAsia="Calibri" w:hAnsi="Calibri"/>
          <w:b w:val="false"/>
          <w:bCs w:val="false"/>
          <w:i w:val="false"/>
          <w:iCs w:val="false"/>
          <w:strike w:val="false"/>
          <w:color w:val="000000"/>
          <w:sz w:val="22"/>
          <w:szCs w:val="22"/>
        </w:rPr>
        <w:t xml:space="preserve"> Telemetry streams are bound to the conversation for quality, security, and audit. Every signal is attributable to a conversation and its participating identities.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Continuous Policy Evaluation:</w:t>
      </w:r>
      <w:r>
        <w:rPr>
          <w:rFonts w:ascii="Calibri" w:cs="Calibri" w:eastAsia="Calibri" w:hAnsi="Calibri"/>
          <w:b w:val="false"/>
          <w:bCs w:val="false"/>
          <w:i w:val="false"/>
          <w:iCs w:val="false"/>
          <w:strike w:val="false"/>
          <w:color w:val="000000"/>
          <w:sz w:val="22"/>
          <w:szCs w:val="22"/>
        </w:rPr>
        <w:t xml:space="preserve"> Policy evaluations occur continuously as telemetry signals and assurance conditions change. Access decisions are not static — they are recalculated as context evolves.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 Outcome:</w:t>
      </w:r>
      <w:r>
        <w:rPr>
          <w:rFonts w:ascii="Calibri" w:cs="Calibri" w:eastAsia="Calibri" w:hAnsi="Calibri"/>
          <w:b w:val="false"/>
          <w:bCs w:val="false"/>
          <w:i w:val="false"/>
          <w:iCs w:val="false"/>
          <w:strike w:val="false"/>
          <w:color w:val="000000"/>
          <w:sz w:val="22"/>
          <w:szCs w:val="22"/>
        </w:rPr>
        <w:t xml:space="preserve"> Given the same inputs, the system produces the same decision across clouds, agencies, and implementations. Determinism is testable, auditable, and reproducible.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Determinism Guarantee:</w:t>
            </w:r>
            <w:r>
              <w:rPr>
                <w:rFonts w:ascii="Calibri" w:cs="Calibri" w:eastAsia="Calibri" w:hAnsi="Calibri"/>
                <w:b w:val="false"/>
                <w:bCs w:val="false"/>
                <w:i w:val="false"/>
                <w:iCs w:val="false"/>
                <w:strike w:val="false"/>
                <w:color w:val="000000"/>
                <w:sz w:val="22"/>
                <w:szCs w:val="22"/>
              </w:rPr>
              <w:t xml:space="preserve"> Given the same identity, device posture, boundary context, telemetry signals, and policy version — the system will produce the same access decision regardless of which cloud, data center, or agency hosts the evaluation engine.</w:t>
            </w:r>
          </w:p>
        </w:tc>
      </w:tr>
    </w:tbl>
    <w:p>
      <w:pPr>
        <w:spacing w:after="24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Appendices G and H for runtime implementation detail and conversation schema.</w:t>
      </w:r>
    </w:p>
    <w:p>
      <w:pPr>
        <w:pStyle w:val="Heading1"/>
        <w:spacing w:after="100" w:before="600" w:line="360" w:lineRule="auto"/>
      </w:pPr>
      <w:r>
        <w:rPr>
          <w:rFonts w:ascii="Calibri" w:cs="Calibri" w:eastAsia="Calibri" w:hAnsi="Calibri"/>
          <w:color w:val="4472C4"/>
          <w:sz w:val="48"/>
          <w:szCs w:val="48"/>
        </w:rPr>
        <w:t xml:space="preserve">Section 12: Implementation Path</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UIAO adoption follows a phased, measurable implementation path. Each phase has defined entry criteria, deliverables, validation gates, and success metrics.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Phase</w:t>
            </w:r>
          </w:p>
        </w:tc>
        <w:tc>
          <w:tcPr>
            <w:tcW w:type="pct" w:w="1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Name</w:t>
            </w:r>
          </w:p>
        </w:tc>
        <w:tc>
          <w:tcPr>
            <w:tcW w:type="pct" w:w="47%"/>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Key Activities</w:t>
            </w:r>
          </w:p>
        </w:tc>
        <w:tc>
          <w:tcPr>
            <w:tcW w:type="pct" w:w="3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Exit Criteria</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0</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 Alignment</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Socialize the 17-Point Canon; define success criteria; establish governance structure</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sponsorship confirmed; success criteria documented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Discovery &amp; Baseline</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Inventory identity, addressing, overlay, and telemetry capabilities; assess current state against canon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Baseline assessment complete; gap analysis delivered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Pilot Build</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Implement constrained pilot with identity-derived addressing, certificate-anchored overlay, conversation-centric telemetry</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Pilot operational; conversation model validated end-to-end</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Validation &amp; Resilience</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Test conversation continuity, failover, attestation, enforcement; validate determinism guarantees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Resilience tests passed; determinism verified across environments</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Scale &amp; Harden</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Expand to additional sites and workloads; integrate governance and asset management systems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Multi-site deployment operational; governance automation active</w:t>
            </w:r>
          </w:p>
        </w:tc>
      </w:tr>
      <w:tr>
        <w:trPr>
          <w:tblHeader w:val="false"/>
        </w:trPr>
        <w:tc>
          <w:tcPr>
            <w:tcW w:type="pct" w:w="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Enterprise &amp; Federate</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Extend to partners, cross-agency trust fabrics, national-scale use cases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Federation agreements active; cross-agency conversations operational</w:t>
            </w:r>
          </w:p>
        </w:tc>
      </w:tr>
    </w:tbl>
    <w:p>
      <w:pPr>
        <w:spacing w:after="200" w:before="0"/>
      </w:pPr>
    </w:p>
    <w:p>
      <w:pPr>
        <w:spacing w:after="120" w:before="60" w:line="360" w:lineRule="auto"/>
        <w:jc w:val="both"/>
      </w:pPr>
      <w:r>
        <w:rPr>
          <w:rFonts w:ascii="Calibri" w:cs="Calibri" w:eastAsia="Calibri" w:hAnsi="Calibri"/>
          <w:b w:val="false"/>
          <w:bCs w:val="false"/>
          <w:i/>
          <w:iCs/>
          <w:strike w:val="false"/>
          <w:color w:val="000000"/>
          <w:sz w:val="22"/>
          <w:szCs w:val="22"/>
        </w:rPr>
        <w:t xml:space="preserve">See Appendices H and I for detailed project plans and program management frameworks.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4472C4" w:color="auto" w:val="clear"/>
            <w:tcMar>
              <w:top w:type="dxa" w:w="200"/>
              <w:left w:type="dxa" w:w="280"/>
              <w:bottom w:type="dxa" w:w="200"/>
              <w:right w:type="dxa" w:w="280"/>
            </w:tcMar>
          </w:tcPr>
          <w:p>
            <w:pPr>
              <w:spacing w:after="120" w:line="408" w:lineRule="auto"/>
            </w:pPr>
            <w:r>
              <w:t xml:space="preserve">Part III: Canon Structure and Governance</w:t>
            </w:r>
          </w:p>
        </w:tc>
      </w:tr>
    </w:tbl>
    <w:p>
      <w:pPr>
        <w:spacing w:after="240" w:before="0"/>
      </w:pPr>
    </w:p>
    <w:p>
      <w:pPr>
        <w:pStyle w:val="Heading1"/>
        <w:spacing w:after="100" w:before="600" w:line="360" w:lineRule="auto"/>
      </w:pPr>
      <w:r>
        <w:rPr>
          <w:rFonts w:ascii="Calibri" w:cs="Calibri" w:eastAsia="Calibri" w:hAnsi="Calibri"/>
          <w:color w:val="4472C4"/>
          <w:sz w:val="48"/>
          <w:szCs w:val="48"/>
        </w:rPr>
        <w:t xml:space="preserve">Section 13: Canon Appendix Map (A–CZ)</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full UIAO Canon is defined in </w:t>
      </w:r>
      <w:r>
        <w:rPr>
          <w:rFonts w:ascii="Calibri" w:cs="Calibri" w:eastAsia="Calibri" w:hAnsi="Calibri"/>
          <w:b/>
          <w:bCs/>
          <w:i w:val="false"/>
          <w:iCs w:val="false"/>
          <w:strike w:val="false"/>
          <w:color w:val="000000"/>
          <w:sz w:val="22"/>
          <w:szCs w:val="22"/>
        </w:rPr>
        <w:t xml:space="preserve">104 appendices</w:t>
      </w:r>
      <w:r>
        <w:rPr>
          <w:rFonts w:ascii="Calibri" w:cs="Calibri" w:eastAsia="Calibri" w:hAnsi="Calibri"/>
          <w:b w:val="false"/>
          <w:bCs w:val="false"/>
          <w:i w:val="false"/>
          <w:iCs w:val="false"/>
          <w:strike w:val="false"/>
          <w:color w:val="000000"/>
          <w:sz w:val="22"/>
          <w:szCs w:val="22"/>
        </w:rPr>
        <w:t xml:space="preserve"> organized into four families of 26 appendices each. This structure ensures complete coverage of every architectural domain while maintaining navigability and consistent internal organization.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Family</w:t>
            </w:r>
          </w:p>
        </w:tc>
        <w:tc>
          <w:tcPr>
            <w:tcW w:type="pct" w:w="1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Range</w:t>
            </w:r>
          </w:p>
        </w:tc>
        <w:tc>
          <w:tcPr>
            <w:tcW w:type="pct" w:w="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Count</w:t>
            </w:r>
          </w:p>
        </w:tc>
        <w:tc>
          <w:tcPr>
            <w:tcW w:type="pct" w:w="6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Domain</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A–Z</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26</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Core architectural domains: Identity, Addressing, Boundary, Telemetry, Policy, Lifecycles, Graphs, Controls, Runtime</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Advanced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AA–AZ</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26</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Advanced architectural domains: Knowledge graph, runtime semantics, assurance levels, multi-cloud integration, drift detection</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Federal-Aware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BA–BZ</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26</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Federal-aware architectural domains: Federal identity regimes, authority chains, mission continuity, federal overlays</w:t>
            </w:r>
          </w:p>
        </w:tc>
      </w:tr>
      <w:tr>
        <w:trPr>
          <w:tblHeader w:val="false"/>
        </w:trPr>
        <w:tc>
          <w:tcPr>
            <w:tcW w:type="pct" w:w="18%"/>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Deep / Advanced-Federal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CA–CZ</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26</w:t>
            </w:r>
          </w:p>
        </w:tc>
        <w:tc>
          <w:tcPr>
            <w:tcW w:type="pct" w:w="6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Deep architecture and advanced-federal domains: Triangulations, cross-object integrity, routing models, governance, unified assurance</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13.1 Consistent Appendix Pattern</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Each appendix family follows a consistent internal structure to ensure uniform navigation and cross-referencing: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Sub-Document</w:t>
            </w:r>
          </w:p>
        </w:tc>
        <w:tc>
          <w:tcPr>
            <w:tcW w:type="pct" w:w="7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Appendix X.01</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Introduction — scope, context, relationship to other appendices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Appendix X</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Main Body — complete specification of the domain</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Appendix X.02</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Authority Mapping — SoA alignment, compliance mapping, cross-references</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14: Core Stack and Vendor Overlays</w:t>
      </w:r>
    </w:p>
    <w:p>
      <w:pPr>
        <w:pBdr>
          <w:top w:val="single" w:color="4472C4" w:sz="6"/>
        </w:pBdr>
        <w:spacing w:after="200" w:before="0"/>
      </w:pPr>
    </w:p>
    <w:p>
      <w:pPr>
        <w:pStyle w:val="Heading3"/>
        <w:spacing w:after="120" w:before="280" w:line="360" w:lineRule="auto"/>
      </w:pPr>
      <w:r>
        <w:rPr>
          <w:rFonts w:ascii="Calibri" w:cs="Calibri" w:eastAsia="Calibri" w:hAnsi="Calibri"/>
          <w:color w:val="2B5797"/>
          <w:sz w:val="28"/>
          <w:szCs w:val="28"/>
        </w:rPr>
        <w:t xml:space="preserve">14.1 Core Technology Stack</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UIAO core stack is defined in </w:t>
      </w:r>
      <w:r>
        <w:rPr>
          <w:rFonts w:ascii="Courier New" w:cs="Courier New" w:eastAsia="Courier New" w:hAnsi="Courier New"/>
          <w:b w:val="false"/>
          <w:bCs w:val="false"/>
          <w:i w:val="false"/>
          <w:iCs w:val="false"/>
          <w:color w:val="000000"/>
          <w:sz w:val="20"/>
          <w:szCs w:val="20"/>
          <w:shd w:fill="F3F4F6" w:color="auto" w:val="clear"/>
        </w:rPr>
        <w:t xml:space="preserve">data/core-stack.yml</w:t>
      </w:r>
      <w:r>
        <w:rPr>
          <w:rFonts w:ascii="Calibri" w:cs="Calibri" w:eastAsia="Calibri" w:hAnsi="Calibri"/>
          <w:b w:val="false"/>
          <w:bCs w:val="false"/>
          <w:i w:val="false"/>
          <w:iCs w:val="false"/>
          <w:strike w:val="false"/>
          <w:color w:val="000000"/>
          <w:sz w:val="22"/>
          <w:szCs w:val="22"/>
        </w:rPr>
        <w:t xml:space="preserve"> and establishes the foundational technology pillars: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Identifier</w:t>
            </w:r>
          </w:p>
        </w:tc>
        <w:tc>
          <w:tcPr>
            <w:tcW w:type="pct" w:w="3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Technology</w:t>
            </w:r>
          </w:p>
        </w:tc>
        <w:tc>
          <w:tcPr>
            <w:tcW w:type="pct" w:w="4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Architectural Pillar</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INR</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Microsoft INR</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Pillar</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IB</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Infoblox IPAM</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Addressing Pillar</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CAT</w:t>
            </w:r>
          </w:p>
        </w:tc>
        <w:tc>
          <w:tcPr>
            <w:tcW w:type="pct" w:w="3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Cisco Catalyst</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Overlay Pillar</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14.2 Active Vendor Overlays</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Active vendor overlays are defined in </w:t>
      </w:r>
      <w:r>
        <w:rPr>
          <w:rFonts w:ascii="Courier New" w:cs="Courier New" w:eastAsia="Courier New" w:hAnsi="Courier New"/>
          <w:b w:val="false"/>
          <w:bCs w:val="false"/>
          <w:i w:val="false"/>
          <w:iCs w:val="false"/>
          <w:color w:val="000000"/>
          <w:sz w:val="20"/>
          <w:szCs w:val="20"/>
          <w:shd w:fill="F3F4F6" w:color="auto" w:val="clear"/>
        </w:rPr>
        <w:t xml:space="preserve">data/overlay-config.yml</w:t>
      </w:r>
      <w:r>
        <w:rPr>
          <w:rFonts w:ascii="Calibri" w:cs="Calibri" w:eastAsia="Calibri" w:hAnsi="Calibri"/>
          <w:b w:val="false"/>
          <w:bCs w:val="false"/>
          <w:i w:val="false"/>
          <w:iCs w:val="false"/>
          <w:strike w:val="false"/>
          <w:color w:val="000000"/>
          <w:sz w:val="22"/>
          <w:szCs w:val="22"/>
        </w:rPr>
        <w:t xml:space="preserve"> and provide implementation-specific integration for each architectural domain: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Microsoft</w:t>
      </w:r>
      <w:r>
        <w:rPr>
          <w:rFonts w:ascii="Calibri" w:cs="Calibri" w:eastAsia="Calibri" w:hAnsi="Calibri"/>
          <w:b w:val="false"/>
          <w:bCs w:val="false"/>
          <w:i w:val="false"/>
          <w:iCs w:val="false"/>
          <w:strike w:val="false"/>
          <w:color w:val="000000"/>
          <w:sz w:val="22"/>
          <w:szCs w:val="22"/>
        </w:rPr>
        <w:t xml:space="preserve"> — Identity, directory, claims engine, cloud platform (Entra ID, Azure)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Cisco</w:t>
      </w:r>
      <w:r>
        <w:rPr>
          <w:rFonts w:ascii="Calibri" w:cs="Calibri" w:eastAsia="Calibri" w:hAnsi="Calibri"/>
          <w:b w:val="false"/>
          <w:bCs w:val="false"/>
          <w:i w:val="false"/>
          <w:iCs w:val="false"/>
          <w:strike w:val="false"/>
          <w:color w:val="000000"/>
          <w:sz w:val="22"/>
          <w:szCs w:val="22"/>
        </w:rPr>
        <w:t xml:space="preserve"> — Overlay transport, SD-WAN, network segmentation (Catalyst, SD-WAN)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Palo Alto</w:t>
      </w:r>
      <w:r>
        <w:rPr>
          <w:rFonts w:ascii="Calibri" w:cs="Calibri" w:eastAsia="Calibri" w:hAnsi="Calibri"/>
          <w:b w:val="false"/>
          <w:bCs w:val="false"/>
          <w:i w:val="false"/>
          <w:iCs w:val="false"/>
          <w:strike w:val="false"/>
          <w:color w:val="000000"/>
          <w:sz w:val="22"/>
          <w:szCs w:val="22"/>
        </w:rPr>
        <w:t xml:space="preserve"> — Network security, next-generation firewall, microsegmentation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Infoblox</w:t>
      </w:r>
      <w:r>
        <w:rPr>
          <w:rFonts w:ascii="Calibri" w:cs="Calibri" w:eastAsia="Calibri" w:hAnsi="Calibri"/>
          <w:b w:val="false"/>
          <w:bCs w:val="false"/>
          <w:i w:val="false"/>
          <w:iCs w:val="false"/>
          <w:strike w:val="false"/>
          <w:color w:val="000000"/>
          <w:sz w:val="22"/>
          <w:szCs w:val="22"/>
        </w:rPr>
        <w:t xml:space="preserve"> — IPAM, DNS, DHCP, network intelligence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Splunk</w:t>
      </w:r>
      <w:r>
        <w:rPr>
          <w:rFonts w:ascii="Calibri" w:cs="Calibri" w:eastAsia="Calibri" w:hAnsi="Calibri"/>
          <w:b w:val="false"/>
          <w:bCs w:val="false"/>
          <w:i w:val="false"/>
          <w:iCs w:val="false"/>
          <w:strike w:val="false"/>
          <w:color w:val="000000"/>
          <w:sz w:val="22"/>
          <w:szCs w:val="22"/>
        </w:rPr>
        <w:t xml:space="preserve"> — Telemetry aggregation, SIEM, conversation correlation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CrowdStrike</w:t>
      </w:r>
      <w:r>
        <w:rPr>
          <w:rFonts w:ascii="Calibri" w:cs="Calibri" w:eastAsia="Calibri" w:hAnsi="Calibri"/>
          <w:b w:val="false"/>
          <w:bCs w:val="false"/>
          <w:i w:val="false"/>
          <w:iCs w:val="false"/>
          <w:strike w:val="false"/>
          <w:color w:val="000000"/>
          <w:sz w:val="22"/>
          <w:szCs w:val="22"/>
        </w:rPr>
        <w:t xml:space="preserve"> — Endpoint detection and response, device posture signals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CyberArk</w:t>
      </w:r>
      <w:r>
        <w:rPr>
          <w:rFonts w:ascii="Calibri" w:cs="Calibri" w:eastAsia="Calibri" w:hAnsi="Calibri"/>
          <w:b w:val="false"/>
          <w:bCs w:val="false"/>
          <w:i w:val="false"/>
          <w:iCs w:val="false"/>
          <w:strike w:val="false"/>
          <w:color w:val="000000"/>
          <w:sz w:val="22"/>
          <w:szCs w:val="22"/>
        </w:rPr>
        <w:t xml:space="preserve"> — Privileged access management, session management, credential vaulting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ServiceNow</w:t>
      </w:r>
      <w:r>
        <w:rPr>
          <w:rFonts w:ascii="Calibri" w:cs="Calibri" w:eastAsia="Calibri" w:hAnsi="Calibri"/>
          <w:b w:val="false"/>
          <w:bCs w:val="false"/>
          <w:i w:val="false"/>
          <w:iCs w:val="false"/>
          <w:strike w:val="false"/>
          <w:color w:val="000000"/>
          <w:sz w:val="22"/>
          <w:szCs w:val="22"/>
        </w:rPr>
        <w:t xml:space="preserve"> — Governance workflows, CMDB, change management automation</w:t>
      </w:r>
    </w:p>
    <w:p>
      <w:pPr>
        <w:pStyle w:val="Heading1"/>
        <w:spacing w:after="100" w:before="600" w:line="360" w:lineRule="auto"/>
      </w:pPr>
      <w:r>
        <w:rPr>
          <w:rFonts w:ascii="Calibri" w:cs="Calibri" w:eastAsia="Calibri" w:hAnsi="Calibri"/>
          <w:color w:val="4472C4"/>
          <w:sz w:val="48"/>
          <w:szCs w:val="48"/>
        </w:rPr>
        <w:t xml:space="preserve">Section 15: Key Parameters</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parameters define baseline enforcement values for identity and access management controls. These values are binding across all UIAO implementations unless explicitly overridden by approved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Parameter ID</w:t>
            </w:r>
          </w:p>
        </w:tc>
        <w:tc>
          <w:tcPr>
            <w:tcW w:type="pct" w:w="2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Name</w:t>
            </w:r>
          </w:p>
        </w:tc>
        <w:tc>
          <w:tcPr>
            <w:tcW w:type="pct" w:w="12%"/>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NIST Control</w:t>
            </w:r>
          </w:p>
        </w:tc>
        <w:tc>
          <w:tcPr>
            <w:tcW w:type="pct" w:w="2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Value</w:t>
            </w:r>
          </w:p>
        </w:tc>
        <w:tc>
          <w:tcPr>
            <w:tcW w:type="pct" w:w="2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Notes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PARAM-IAM-001</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MFA Enforcement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IA-2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FIDO2 / PIV / CAC</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 users, all access paths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PARAM-IAM-002</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Session Timeout (Privileged)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AC-12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15 minutes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CyberArk PSM enforced</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PARAM-IAM-003</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Session Timeout (Standard)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AC-12</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30 minutes</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Entra ID token lifetime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PARAM-IAM-004</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Password Complexity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IA-5(1)</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16 characters minimum</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Complexity rules per NIST 800-63B</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PARAM-IAM-005</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Account Lockout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AC-7</w:t>
            </w:r>
          </w:p>
        </w:tc>
        <w:tc>
          <w:tcPr>
            <w:tcW w:type="pct" w:w="2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5 attempts / 30 min lockout</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Progressive lockout with alert</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16: Gold Standard YAML Schema</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All control narratives in </w:t>
      </w:r>
      <w:r>
        <w:rPr>
          <w:rFonts w:ascii="Courier New" w:cs="Courier New" w:eastAsia="Courier New" w:hAnsi="Courier New"/>
          <w:b w:val="false"/>
          <w:bCs w:val="false"/>
          <w:i w:val="false"/>
          <w:iCs w:val="false"/>
          <w:color w:val="000000"/>
          <w:sz w:val="20"/>
          <w:szCs w:val="20"/>
          <w:shd w:fill="F3F4F6" w:color="auto" w:val="clear"/>
        </w:rPr>
        <w:t xml:space="preserve">data/control-library/</w:t>
      </w:r>
      <w:r>
        <w:rPr>
          <w:rFonts w:ascii="Calibri" w:cs="Calibri" w:eastAsia="Calibri" w:hAnsi="Calibri"/>
          <w:b w:val="false"/>
          <w:bCs w:val="false"/>
          <w:i w:val="false"/>
          <w:iCs w:val="false"/>
          <w:strike w:val="false"/>
          <w:color w:val="000000"/>
          <w:sz w:val="22"/>
          <w:szCs w:val="22"/>
        </w:rPr>
        <w:t xml:space="preserve"> follow the AT-3 canonical format. This schema ensures deterministic compilation, automated validation, and drift-free publication.</w:t>
      </w:r>
    </w:p>
    <w:p>
      <w:pPr>
        <w:pStyle w:val="Heading3"/>
        <w:spacing w:after="120" w:before="280" w:line="360" w:lineRule="auto"/>
      </w:pPr>
      <w:r>
        <w:rPr>
          <w:rFonts w:ascii="Calibri" w:cs="Calibri" w:eastAsia="Calibri" w:hAnsi="Calibri"/>
          <w:color w:val="2B5797"/>
          <w:sz w:val="28"/>
          <w:szCs w:val="28"/>
        </w:rPr>
        <w:t xml:space="preserve">16.1 Schema Format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4-line header comment:</w:t>
      </w:r>
      <w:r>
        <w:rPr>
          <w:rFonts w:ascii="Calibri" w:cs="Calibri" w:eastAsia="Calibri" w:hAnsi="Calibri"/>
          <w:b w:val="false"/>
          <w:bCs w:val="false"/>
          <w:i w:val="false"/>
          <w:iCs w:val="false"/>
          <w:strike w:val="false"/>
          <w:color w:val="000000"/>
          <w:sz w:val="22"/>
          <w:szCs w:val="22"/>
        </w:rPr>
        <w:t xml:space="preserve"> NIST reference, Control ID, Title, Schema path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Fields: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control_id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title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family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status: implemented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implemented_by:</w:t>
      </w:r>
      <w:r>
        <w:rPr>
          <w:rFonts w:ascii="Calibri" w:cs="Calibri" w:eastAsia="Calibri" w:hAnsi="Calibri"/>
          <w:b w:val="false"/>
          <w:bCs w:val="false"/>
          <w:i w:val="false"/>
          <w:iCs w:val="false"/>
          <w:strike w:val="false"/>
          <w:color w:val="000000"/>
          <w:sz w:val="22"/>
          <w:szCs w:val="22"/>
        </w:rPr>
        <w:t xml:space="preserve"> kebab-case component names (e.g., </w:t>
      </w:r>
      <w:r>
        <w:rPr>
          <w:rFonts w:ascii="Courier New" w:cs="Courier New" w:eastAsia="Courier New" w:hAnsi="Courier New"/>
          <w:b w:val="false"/>
          <w:bCs w:val="false"/>
          <w:i w:val="false"/>
          <w:iCs w:val="false"/>
          <w:color w:val="000000"/>
          <w:sz w:val="20"/>
          <w:szCs w:val="20"/>
          <w:shd w:fill="F3F4F6" w:color="auto" w:val="clear"/>
        </w:rPr>
        <w:t xml:space="preserve">entra-id-conditional-access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evidence:</w:t>
      </w:r>
      <w:r>
        <w:rPr>
          <w:rFonts w:ascii="Calibri" w:cs="Calibri" w:eastAsia="Calibri" w:hAnsi="Calibri"/>
          <w:b w:val="false"/>
          <w:bCs w:val="false"/>
          <w:i w:val="false"/>
          <w:iCs w:val="false"/>
          <w:strike w:val="false"/>
          <w:color w:val="000000"/>
          <w:sz w:val="22"/>
          <w:szCs w:val="22"/>
        </w:rPr>
        <w:t xml:space="preserve"> kebab-case artifact names (e.g., </w:t>
      </w:r>
      <w:r>
        <w:rPr>
          <w:rFonts w:ascii="Courier New" w:cs="Courier New" w:eastAsia="Courier New" w:hAnsi="Courier New"/>
          <w:b w:val="false"/>
          <w:bCs w:val="false"/>
          <w:i w:val="false"/>
          <w:iCs w:val="false"/>
          <w:color w:val="000000"/>
          <w:sz w:val="20"/>
          <w:szCs w:val="20"/>
          <w:shd w:fill="F3F4F6" w:color="auto" w:val="clear"/>
        </w:rPr>
        <w:t xml:space="preserve">mfa-enforcement-report</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parameters:</w:t>
      </w:r>
      <w:r>
        <w:rPr>
          <w:rFonts w:ascii="Calibri" w:cs="Calibri" w:eastAsia="Calibri" w:hAnsi="Calibri"/>
          <w:b w:val="false"/>
          <w:bCs w:val="false"/>
          <w:i w:val="false"/>
          <w:iCs w:val="false"/>
          <w:strike w:val="false"/>
          <w:color w:val="000000"/>
          <w:sz w:val="22"/>
          <w:szCs w:val="22"/>
        </w:rPr>
        <w:t xml:space="preserve"> list of </w:t>
      </w:r>
      <w:r>
        <w:rPr>
          <w:rFonts w:ascii="Courier New" w:cs="Courier New" w:eastAsia="Courier New" w:hAnsi="Courier New"/>
          <w:b w:val="false"/>
          <w:bCs w:val="false"/>
          <w:i w:val="false"/>
          <w:iCs w:val="false"/>
          <w:color w:val="000000"/>
          <w:sz w:val="20"/>
          <w:szCs w:val="20"/>
          <w:shd w:fill="F3F4F6" w:color="auto" w:val="clear"/>
        </w:rPr>
        <w:t xml:space="preserve">{id, description, value}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narrative:</w:t>
      </w:r>
      <w:r>
        <w:rPr>
          <w:rFonts w:ascii="Calibri" w:cs="Calibri" w:eastAsia="Calibri" w:hAnsi="Calibri"/>
          <w:b w:val="false"/>
          <w:bCs w:val="false"/>
          <w:i w:val="false"/>
          <w:iCs w:val="false"/>
          <w:strike w:val="false"/>
          <w:color w:val="000000"/>
          <w:sz w:val="22"/>
          <w:szCs w:val="22"/>
        </w:rPr>
        <w:t xml:space="preserve"> block with 2–3 paragraphs, bold headers, cross-references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related_controls:</w:t>
      </w:r>
      <w:r>
        <w:rPr>
          <w:rFonts w:ascii="Calibri" w:cs="Calibri" w:eastAsia="Calibri" w:hAnsi="Calibri"/>
          <w:b w:val="false"/>
          <w:bCs w:val="false"/>
          <w:i w:val="false"/>
          <w:iCs w:val="false"/>
          <w:strike w:val="false"/>
          <w:color w:val="000000"/>
          <w:sz w:val="22"/>
          <w:szCs w:val="22"/>
        </w:rPr>
        <w:t xml:space="preserve"> simple strings with inline comments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curly braces, no template variables</w:t>
      </w:r>
    </w:p>
    <w:p>
      <w:pPr>
        <w:pStyle w:val="Heading3"/>
        <w:spacing w:after="120" w:before="280" w:line="360" w:lineRule="auto"/>
      </w:pPr>
      <w:r>
        <w:rPr>
          <w:rFonts w:ascii="Calibri" w:cs="Calibri" w:eastAsia="Calibri" w:hAnsi="Calibri"/>
          <w:color w:val="2B5797"/>
          <w:sz w:val="28"/>
          <w:szCs w:val="28"/>
        </w:rPr>
        <w:t xml:space="preserve">16.2 Controls in Repository</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controls are currently defined in the repository control library: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1%"/>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Family</w:t>
            </w:r>
          </w:p>
        </w:tc>
        <w:tc>
          <w:tcPr>
            <w:tcW w:type="pct" w:w="4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Controls</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Access Control (AC)</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AC-1, AC-2, AC-3, AC-4, AC-6, AC-17</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Awareness &amp; Training (AT)</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AT-3</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Audit &amp; Accountability (AU)</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AU-2, AU-6</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Configuration Management (CM)</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CM-2, CM-3, CM-6</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Contingency Planning (CP)</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CP-2, CP-9</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Identification &amp; Authentication (IA)</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IA-2, IA-5, IA-8</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Incident Response (IR)</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IR-4, IR-6</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System &amp; Communications (SC)</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SC-5, SC-7, SC-8, SC-12</w:t>
            </w:r>
          </w:p>
        </w:tc>
      </w:tr>
      <w:tr>
        <w:trPr>
          <w:tblHeader w:val="false"/>
        </w:trPr>
        <w:tc>
          <w:tcPr>
            <w:tcW w:type="pct" w:w="5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System &amp; Information Integrity (SI)</w:t>
            </w:r>
          </w:p>
        </w:tc>
        <w:tc>
          <w:tcPr>
            <w:tcW w:type="pct" w:w="4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SI-2, SI-4</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17: UIAO Cloud Boundary Rule</w:t>
      </w:r>
    </w:p>
    <w:p>
      <w:pPr>
        <w:pBdr>
          <w:top w:val="single" w:color="4472C4"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Canonical Cloud Boundary Statement:</w:t>
            </w:r>
          </w:p>
          <w:p>
            <w:pPr>
              <w:spacing w:after="60" w:line="360" w:lineRule="auto"/>
              <w:jc w:val="both"/>
            </w:pPr>
            <w:r>
              <w:rPr>
                <w:rFonts w:ascii="Calibri" w:cs="Calibri" w:eastAsia="Calibri" w:hAnsi="Calibri"/>
                <w:b w:val="false"/>
                <w:bCs w:val="false"/>
                <w:i/>
                <w:iCs/>
                <w:strike w:val="false"/>
                <w:color w:val="000000"/>
                <w:sz w:val="22"/>
                <w:szCs w:val="22"/>
              </w:rPr>
              <w:t xml:space="preserve">"We operate in Commercial Cloud as governed by FedRAMP unless specifically noted."</w:t>
            </w:r>
          </w:p>
        </w:tc>
      </w:tr>
    </w:tbl>
    <w:p>
      <w:pPr>
        <w:spacing w:after="240" w:before="0"/>
      </w:pPr>
    </w:p>
    <w:p>
      <w:pPr>
        <w:pStyle w:val="Heading3"/>
        <w:spacing w:after="120" w:before="280" w:line="360" w:lineRule="auto"/>
      </w:pPr>
      <w:r>
        <w:rPr>
          <w:rFonts w:ascii="Calibri" w:cs="Calibri" w:eastAsia="Calibri" w:hAnsi="Calibri"/>
          <w:color w:val="2B5797"/>
          <w:sz w:val="28"/>
          <w:szCs w:val="28"/>
        </w:rPr>
        <w:t xml:space="preserve">17.1 Boundary Rules and Exceptions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Rule / Exception</w:t>
            </w:r>
          </w:p>
        </w:tc>
        <w:tc>
          <w:tcPr>
            <w:tcW w:type="pct" w:w="7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Detail</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Default Posture</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Commercial Cloud, governed by FedRAMP</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Exception 001</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Amazon Connect Contact Center operates in Commercial Cloud (not GCC)</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GCC-Moderate Scope</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Applies to Microsoft 365 SaaS services </w:t>
            </w:r>
            <w:r>
              <w:rPr>
                <w:rFonts w:ascii="Calibri" w:cs="Calibri" w:eastAsia="Calibri" w:hAnsi="Calibri"/>
                <w:b w:val="false"/>
                <w:bCs w:val="false"/>
                <w:i/>
                <w:iCs/>
                <w:strike w:val="false"/>
                <w:color w:val="000000"/>
                <w:sz w:val="22"/>
                <w:szCs w:val="22"/>
              </w:rPr>
              <w:t xml:space="preserve">only</w:t>
            </w:r>
            <w:r>
              <w:rPr>
                <w:rFonts w:ascii="Calibri" w:cs="Calibri" w:eastAsia="Calibri" w:hAnsi="Calibri"/>
                <w:b w:val="false"/>
                <w:bCs w:val="false"/>
                <w:i w:val="false"/>
                <w:iCs w:val="false"/>
                <w:strike w:val="false"/>
                <w:color w:val="000000"/>
                <w:sz w:val="22"/>
                <w:szCs w:val="22"/>
              </w:rPr>
              <w:t xml:space="preserve">; does not include Azure services</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FedRAMP High</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We are </w:t>
            </w:r>
            <w:r>
              <w:rPr>
                <w:rFonts w:ascii="Calibri" w:cs="Calibri" w:eastAsia="Calibri" w:hAnsi="Calibri"/>
                <w:b w:val="false"/>
                <w:bCs w:val="false"/>
                <w:i/>
                <w:iCs/>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FedRAMP High</w:t>
            </w:r>
          </w:p>
        </w:tc>
      </w:tr>
    </w:tbl>
    <w:p>
      <w:pPr>
        <w:spacing w:after="200" w:before="0"/>
      </w:pPr>
    </w:p>
    <w:p>
      <w:pPr>
        <w:spacing w:after="120" w:before="60" w:line="360" w:lineRule="auto"/>
        <w:jc w:val="both"/>
      </w:pPr>
      <w:r>
        <w:rPr>
          <w:rFonts w:ascii="Calibri" w:cs="Calibri" w:eastAsia="Calibri" w:hAnsi="Calibri"/>
          <w:b/>
          <w:bCs/>
          <w:i w:val="false"/>
          <w:iCs w:val="false"/>
          <w:strike w:val="false"/>
          <w:color w:val="000000"/>
          <w:sz w:val="22"/>
          <w:szCs w:val="22"/>
        </w:rPr>
        <w:t xml:space="preserve">Applicability:</w:t>
      </w:r>
      <w:r>
        <w:rPr>
          <w:rFonts w:ascii="Calibri" w:cs="Calibri" w:eastAsia="Calibri" w:hAnsi="Calibri"/>
          <w:b w:val="false"/>
          <w:bCs w:val="false"/>
          <w:i w:val="false"/>
          <w:iCs w:val="false"/>
          <w:strike w:val="false"/>
          <w:color w:val="000000"/>
          <w:sz w:val="22"/>
          <w:szCs w:val="22"/>
        </w:rPr>
        <w:t xml:space="preserve"> This rule applies to all Operating Contracts, onboarding templates, and boundary matrices. Any deviation requires documented exception with SoA-aligned approval.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4472C4" w:color="auto" w:val="clear"/>
            <w:tcMar>
              <w:top w:type="dxa" w:w="200"/>
              <w:left w:type="dxa" w:w="280"/>
              <w:bottom w:type="dxa" w:w="200"/>
              <w:right w:type="dxa" w:w="280"/>
            </w:tcMar>
          </w:tcPr>
          <w:p>
            <w:pPr>
              <w:spacing w:after="120" w:line="408" w:lineRule="auto"/>
            </w:pPr>
            <w:r>
              <w:t xml:space="preserve">Part IV: Operational Reference</w:t>
            </w:r>
          </w:p>
        </w:tc>
      </w:tr>
    </w:tbl>
    <w:p>
      <w:pPr>
        <w:spacing w:after="240" w:before="0"/>
      </w:pPr>
    </w:p>
    <w:p>
      <w:pPr>
        <w:pStyle w:val="Heading1"/>
        <w:spacing w:after="100" w:before="600" w:line="360" w:lineRule="auto"/>
      </w:pPr>
      <w:r>
        <w:rPr>
          <w:rFonts w:ascii="Calibri" w:cs="Calibri" w:eastAsia="Calibri" w:hAnsi="Calibri"/>
          <w:color w:val="4472C4"/>
          <w:sz w:val="48"/>
          <w:szCs w:val="48"/>
        </w:rPr>
        <w:t xml:space="preserve">Section 18: Crosswalk Matrix</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master crosswalk matrix maps every architectural plane/domain to its control plane specification, architecture diagram, project plan, canon volume coverage, and modernization appendix. This is the primary navigation tool for locating any UIAO artifact.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Plane / Domain</w:t>
            </w:r>
          </w:p>
        </w:tc>
        <w:tc>
          <w:tcPr>
            <w:tcW w:type="pct" w:w="1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Control Plane Spec</w:t>
            </w:r>
          </w:p>
        </w:tc>
        <w:tc>
          <w:tcPr>
            <w:tcW w:type="pct" w:w="2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Architecture Diagram</w:t>
            </w:r>
          </w:p>
        </w:tc>
        <w:tc>
          <w:tcPr>
            <w:tcW w:type="pct" w:w="2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Project Plan</w:t>
            </w:r>
          </w:p>
        </w:tc>
        <w:tc>
          <w:tcPr>
            <w:tcW w:type="pct" w:w="1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Canon Volume Coverage</w:t>
            </w:r>
          </w:p>
        </w:tc>
        <w:tc>
          <w:tcPr>
            <w:tcW w:type="pct" w:w="13%"/>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Modernization Appendix</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Identity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Control Plane Architecture.png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A1_Identity_ProjectPlan.md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A–M and AA–AM</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A</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Network</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Network Control Plane.png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B1_Network_ProjectPlan.md + B1_SD-WAN_ProjectPlan.md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A–M and AN–AZ</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B</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Addressing / IPAM</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AddressingControlPlane.md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 Network and Identity diagrams)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C1_Addressing_ProjectPlan.md + C1_IPAM_ProjectPlan.md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CA–CM and CN–CZ</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C</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Telemetry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TelemetryControlPlane.md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Telemetry Signal Flow.png</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D1_Telemetry_ProjectPlan.md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DA–DM and DN–DZ</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D</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Endpoint</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EndpointControlPlane.md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(within Five-Plane Architecture)</w:t>
            </w:r>
          </w:p>
        </w:tc>
        <w:tc>
          <w:tcPr>
            <w:tcW w:type="pct" w:w="24%"/>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(future)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EA–EM and EN–EZ</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(future)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Security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SecurityControlPlane.md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(implicit across all diagrams)</w:t>
            </w:r>
          </w:p>
        </w:tc>
        <w:tc>
          <w:tcPr>
            <w:tcW w:type="pct" w:w="24%"/>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(future)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N–Z</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(future)</w:t>
            </w:r>
          </w:p>
        </w:tc>
      </w:tr>
      <w:tr>
        <w:trPr>
          <w:tblHeader w:val="false"/>
        </w:trPr>
        <w:tc>
          <w:tcPr>
            <w:tcW w:type="pct" w:w="1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Unified Architecture</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03_Unified_Architecture.md</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UIAO Five-Plane Architecture.png</w:t>
            </w:r>
          </w:p>
        </w:tc>
        <w:tc>
          <w:tcPr>
            <w:tcW w:type="pct" w:w="24%"/>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(cross-plane)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All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Appendix E (TIC3)</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19: Cross-Plane Dependencies</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UIAO planes are interdependent by design. No plane operates in isolation. Understanding these dependencies is essential for implementation sequencing, failure mode analysis, and governance.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Dependency Pair</w:t>
            </w:r>
          </w:p>
        </w:tc>
        <w:tc>
          <w:tcPr>
            <w:tcW w:type="pct" w:w="81%"/>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Relationship</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Identity ↔ Network</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Identity depends on network reachability for authentication and claims issuance. Network depends on identity for segmentation policy, access decisions, and overlay authentication.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Network ↔ Addressing</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Addressing is a sub-domain of network. IPAM drives routing table construction, segmentation boundaries, and telemetry attribution.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Telemetry ↔ All Planes</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Telemetry consumes signals from all planes and normalizes them into conversation-centric records. Telemetry findings inform modernization sequencing and risk prioritization.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Security ↔ All Planes</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Security overlays every plane as a cross-cutting concern. It is not a standalone plane but an enforcement and assurance function embedded in each domain.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Endpoint ↔ Identity + Network</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Endpoints authenticate via the identity plane (device attestation, user MFA). Endpoints connect via the network plane (overlay tunnels, segmentation). Posture signals flow to telemetry.</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20: Canonical Directory Structure</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canonical UIAO repository directory structure ensures consistent organization, predictable artifact location, and automated tooling compatibility.</w:t>
      </w:r>
    </w:p>
    <w:p>
      <w:pPr>
        <w:pStyle w:val="Heading3"/>
        <w:spacing w:after="120" w:before="280" w:line="360" w:lineRule="auto"/>
      </w:pPr>
      <w:r>
        <w:rPr>
          <w:rFonts w:ascii="Calibri" w:cs="Calibri" w:eastAsia="Calibri" w:hAnsi="Calibri"/>
          <w:color w:val="2B5797"/>
          <w:sz w:val="28"/>
          <w:szCs w:val="28"/>
        </w:rPr>
        <w:t xml:space="preserve">20.1 UIAO_Root Directory Tree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Directory</w:t>
            </w:r>
          </w:p>
        </w:tc>
        <w:tc>
          <w:tcPr>
            <w:tcW w:type="pct" w:w="71%"/>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Purpose</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00_Core/</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Authoritative architectural specifications and control plane definitions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01_Canon/</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Publication-ready doctrine, main specification, program vision</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01_ProjectPlans/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Modernization workstreams and plane-specific project plans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02_Appendices/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Canonical appendices (</w:t>
            </w:r>
            <w:r>
              <w:rPr>
                <w:rFonts w:ascii="Courier New" w:cs="Courier New" w:eastAsia="Courier New" w:hAnsi="Courier New"/>
                <w:b w:val="false"/>
                <w:bCs w:val="false"/>
                <w:i w:val="false"/>
                <w:iCs w:val="false"/>
                <w:color w:val="000000"/>
                <w:sz w:val="20"/>
                <w:szCs w:val="20"/>
                <w:shd w:fill="F3F4F6" w:color="auto" w:val="clear"/>
              </w:rPr>
              <w:t xml:space="preserve">00_Canon_Volumes</w:t>
            </w:r>
            <w:r>
              <w:rPr>
                <w:rFonts w:ascii="Calibri" w:cs="Calibri" w:eastAsia="Calibri" w:hAnsi="Calibri"/>
                <w:b w:val="false"/>
                <w:bCs w:val="false"/>
                <w:i w:val="false"/>
                <w:iCs w:val="false"/>
                <w:strike w:val="false"/>
                <w:color w:val="000000"/>
                <w:sz w:val="22"/>
                <w:szCs w:val="22"/>
              </w:rPr>
              <w:t xml:space="preserve">) and individual expansions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03_Appendices/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Modernization-specific appendices (A–E)</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02_ArchitectureDiagrams/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Rendered architecture diagrams (PNG format)</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03_Diagrams/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Editable draw.io source files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04_Indexes/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Directory indexes, crosswalks, repository metadata</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04_Templates/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Reusable templates for control narratives, project plans, briefings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05_Assets/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Images, diagrams, placeholders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05_Reference/</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External reference documents (NIST, OMB, CISA)</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06_Drafts/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Sandbox for early drafts and work-in-progress</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OldDocs/</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Full provenance archive — legacy documents retained for traceability</w:t>
            </w:r>
          </w:p>
        </w:tc>
      </w:tr>
      <w:tr>
        <w:trPr>
          <w:tblHeader w:val="false"/>
        </w:trPr>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20"/>
                <w:szCs w:val="20"/>
                <w:shd w:fill="F3F4F6" w:color="auto" w:val="clear"/>
              </w:rPr>
              <w:t xml:space="preserve">Fix/</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Reserved for repair operations and schema corrections</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20.2 Six Canonical Expansion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 files in root.</w:t>
      </w:r>
      <w:r>
        <w:rPr>
          <w:rFonts w:ascii="Calibri" w:cs="Calibri" w:eastAsia="Calibri" w:hAnsi="Calibri"/>
          <w:b w:val="false"/>
          <w:bCs w:val="false"/>
          <w:i w:val="false"/>
          <w:iCs w:val="false"/>
          <w:strike w:val="false"/>
          <w:color w:val="000000"/>
          <w:sz w:val="22"/>
          <w:szCs w:val="22"/>
        </w:rPr>
        <w:t xml:space="preserve"> All artifacts reside in categorized subdirectories.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Plane specs always live in </w:t>
      </w:r>
      <w:r>
        <w:rPr>
          <w:rFonts w:ascii="Courier New" w:cs="Courier New" w:eastAsia="Courier New" w:hAnsi="Courier New"/>
          <w:b/>
          <w:bCs/>
          <w:i w:val="false"/>
          <w:iCs w:val="false"/>
          <w:color w:val="000000"/>
          <w:sz w:val="20"/>
          <w:szCs w:val="20"/>
          <w:shd w:fill="F3F4F6" w:color="auto" w:val="clear"/>
        </w:rPr>
        <w:t xml:space="preserve">00_Core</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Control plane definitions are authoritative and versioned in the core directory.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 volumes always live in </w:t>
      </w:r>
      <w:r>
        <w:rPr>
          <w:rFonts w:ascii="Courier New" w:cs="Courier New" w:eastAsia="Courier New" w:hAnsi="Courier New"/>
          <w:b/>
          <w:bCs/>
          <w:i w:val="false"/>
          <w:iCs w:val="false"/>
          <w:color w:val="000000"/>
          <w:sz w:val="20"/>
          <w:szCs w:val="20"/>
          <w:shd w:fill="F3F4F6" w:color="auto" w:val="clear"/>
        </w:rPr>
        <w:t xml:space="preserve">01_Canon</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Publication-ready doctrine is separated from working specifications.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Diagrams split by type.</w:t>
      </w:r>
      <w:r>
        <w:rPr>
          <w:rFonts w:ascii="Calibri" w:cs="Calibri" w:eastAsia="Calibri" w:hAnsi="Calibri"/>
          <w:b w:val="false"/>
          <w:bCs w:val="false"/>
          <w:i w:val="false"/>
          <w:iCs w:val="false"/>
          <w:strike w:val="false"/>
          <w:color w:val="000000"/>
          <w:sz w:val="22"/>
          <w:szCs w:val="22"/>
        </w:rPr>
        <w:t xml:space="preserve"> Rendered PNGs reside in </w:t>
      </w:r>
      <w:r>
        <w:rPr>
          <w:rFonts w:ascii="Courier New" w:cs="Courier New" w:eastAsia="Courier New" w:hAnsi="Courier New"/>
          <w:b w:val="false"/>
          <w:bCs w:val="false"/>
          <w:i w:val="false"/>
          <w:iCs w:val="false"/>
          <w:color w:val="000000"/>
          <w:sz w:val="20"/>
          <w:szCs w:val="20"/>
          <w:shd w:fill="F3F4F6" w:color="auto" w:val="clear"/>
        </w:rPr>
        <w:t xml:space="preserve">02_ArchitectureDiagrams</w:t>
      </w:r>
      <w:r>
        <w:rPr>
          <w:rFonts w:ascii="Calibri" w:cs="Calibri" w:eastAsia="Calibri" w:hAnsi="Calibri"/>
          <w:b w:val="false"/>
          <w:bCs w:val="false"/>
          <w:i w:val="false"/>
          <w:iCs w:val="false"/>
          <w:strike w:val="false"/>
          <w:color w:val="000000"/>
          <w:sz w:val="22"/>
          <w:szCs w:val="22"/>
        </w:rPr>
        <w:t xml:space="preserve">; editable draw.io source files in </w:t>
      </w:r>
      <w:r>
        <w:rPr>
          <w:rFonts w:ascii="Courier New" w:cs="Courier New" w:eastAsia="Courier New" w:hAnsi="Courier New"/>
          <w:b w:val="false"/>
          <w:bCs w:val="false"/>
          <w:i w:val="false"/>
          <w:iCs w:val="false"/>
          <w:color w:val="000000"/>
          <w:sz w:val="20"/>
          <w:szCs w:val="20"/>
          <w:shd w:fill="F3F4F6" w:color="auto" w:val="clear"/>
        </w:rPr>
        <w:t xml:space="preserve">03_Diagrams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Appendices split by purpose.</w:t>
      </w:r>
      <w:r>
        <w:rPr>
          <w:rFonts w:ascii="Calibri" w:cs="Calibri" w:eastAsia="Calibri" w:hAnsi="Calibri"/>
          <w:b w:val="false"/>
          <w:bCs w:val="false"/>
          <w:i w:val="false"/>
          <w:iCs w:val="false"/>
          <w:strike w:val="false"/>
          <w:color w:val="000000"/>
          <w:sz w:val="22"/>
          <w:szCs w:val="22"/>
        </w:rPr>
        <w:t xml:space="preserve"> Canonical appendices in </w:t>
      </w:r>
      <w:r>
        <w:rPr>
          <w:rFonts w:ascii="Courier New" w:cs="Courier New" w:eastAsia="Courier New" w:hAnsi="Courier New"/>
          <w:b w:val="false"/>
          <w:bCs w:val="false"/>
          <w:i w:val="false"/>
          <w:iCs w:val="false"/>
          <w:color w:val="000000"/>
          <w:sz w:val="20"/>
          <w:szCs w:val="20"/>
          <w:shd w:fill="F3F4F6" w:color="auto" w:val="clear"/>
        </w:rPr>
        <w:t xml:space="preserve">02_Appendices</w:t>
      </w:r>
      <w:r>
        <w:rPr>
          <w:rFonts w:ascii="Calibri" w:cs="Calibri" w:eastAsia="Calibri" w:hAnsi="Calibri"/>
          <w:b w:val="false"/>
          <w:bCs w:val="false"/>
          <w:i w:val="false"/>
          <w:iCs w:val="false"/>
          <w:strike w:val="false"/>
          <w:color w:val="000000"/>
          <w:sz w:val="22"/>
          <w:szCs w:val="22"/>
        </w:rPr>
        <w:t xml:space="preserve">; modernization-specific appendices in </w:t>
      </w:r>
      <w:r>
        <w:rPr>
          <w:rFonts w:ascii="Courier New" w:cs="Courier New" w:eastAsia="Courier New" w:hAnsi="Courier New"/>
          <w:b w:val="false"/>
          <w:bCs w:val="false"/>
          <w:i w:val="false"/>
          <w:iCs w:val="false"/>
          <w:color w:val="000000"/>
          <w:sz w:val="20"/>
          <w:szCs w:val="20"/>
          <w:shd w:fill="F3F4F6" w:color="auto" w:val="clear"/>
        </w:rPr>
        <w:t xml:space="preserve">03_Appendices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All legacy files remain in </w:t>
      </w:r>
      <w:r>
        <w:rPr>
          <w:rFonts w:ascii="Courier New" w:cs="Courier New" w:eastAsia="Courier New" w:hAnsi="Courier New"/>
          <w:b/>
          <w:bCs/>
          <w:i w:val="false"/>
          <w:iCs w:val="false"/>
          <w:color w:val="000000"/>
          <w:sz w:val="20"/>
          <w:szCs w:val="20"/>
          <w:shd w:fill="F3F4F6" w:color="auto" w:val="clear"/>
        </w:rPr>
        <w:t xml:space="preserve">OldDocs</w:t>
      </w:r>
      <w:r>
        <w:rPr>
          <w:rFonts w:ascii="Calibri" w:cs="Calibri" w:eastAsia="Calibri" w:hAnsi="Calibri"/>
          <w:b/>
          <w:bCs/>
          <w:i w:val="false"/>
          <w:iCs w:val="false"/>
          <w:strike w:val="false"/>
          <w:color w:val="000000"/>
          <w:sz w:val="22"/>
          <w:szCs w:val="22"/>
        </w:rPr>
        <w:t xml:space="preserve"> until explicitly retired.</w:t>
      </w:r>
      <w:r>
        <w:rPr>
          <w:rFonts w:ascii="Calibri" w:cs="Calibri" w:eastAsia="Calibri" w:hAnsi="Calibri"/>
          <w:b w:val="false"/>
          <w:bCs w:val="false"/>
          <w:i w:val="false"/>
          <w:iCs w:val="false"/>
          <w:strike w:val="false"/>
          <w:color w:val="000000"/>
          <w:sz w:val="22"/>
          <w:szCs w:val="22"/>
        </w:rPr>
        <w:t xml:space="preserve"> Provenance is preserved; no deletions without governance approval.</w:t>
      </w:r>
    </w:p>
    <w:p>
      <w:pPr>
        <w:pStyle w:val="Heading1"/>
        <w:spacing w:after="100" w:before="600" w:line="360" w:lineRule="auto"/>
      </w:pPr>
      <w:r>
        <w:rPr>
          <w:rFonts w:ascii="Calibri" w:cs="Calibri" w:eastAsia="Calibri" w:hAnsi="Calibri"/>
          <w:color w:val="4472C4"/>
          <w:sz w:val="48"/>
          <w:szCs w:val="48"/>
        </w:rPr>
        <w:t xml:space="preserve">Section 21: Document Compiler (UDC) Overview</w:t>
      </w:r>
    </w:p>
    <w:p>
      <w:pPr>
        <w:pBdr>
          <w:top w:val="single" w:color="4472C4" w:sz="6"/>
        </w:pBdr>
        <w:spacing w:after="200" w:before="0"/>
      </w:pP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UIAO Document Compiler (UDC) converts YAML-based canonical artifacts into publication-ready documents. It is the automation layer that guarantees consistency between the source canon and all published outputs.</w:t>
      </w:r>
    </w:p>
    <w:p>
      <w:pPr>
        <w:pStyle w:val="Heading3"/>
        <w:spacing w:after="120" w:before="280" w:line="360" w:lineRule="auto"/>
      </w:pPr>
      <w:r>
        <w:rPr>
          <w:rFonts w:ascii="Calibri" w:cs="Calibri" w:eastAsia="Calibri" w:hAnsi="Calibri"/>
          <w:color w:val="2B5797"/>
          <w:sz w:val="28"/>
          <w:szCs w:val="28"/>
        </w:rPr>
        <w:t xml:space="preserve">21.1 Purpose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Convert YAML artifacts to human-readable documents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Enforce formatting, structure, and naming conventions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Guarantee deterministic, reproducible exports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Eliminate drift between source and published content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Enable GitHub-native automation via CI/CD pipelines</w:t>
      </w:r>
    </w:p>
    <w:p>
      <w:pPr>
        <w:pStyle w:val="Heading3"/>
        <w:spacing w:after="120" w:before="280" w:line="360" w:lineRule="auto"/>
      </w:pPr>
      <w:r>
        <w:rPr>
          <w:rFonts w:ascii="Calibri" w:cs="Calibri" w:eastAsia="Calibri" w:hAnsi="Calibri"/>
          <w:color w:val="2B5797"/>
          <w:sz w:val="28"/>
          <w:szCs w:val="28"/>
        </w:rPr>
        <w:t xml:space="preserve">21.2 Core Inputs and Outputs</w:t>
      </w:r>
    </w:p>
    <w:p>
      <w:pPr>
        <w:spacing w:after="120" w:before="60" w:line="360" w:lineRule="auto"/>
        <w:jc w:val="both"/>
      </w:pPr>
      <w:r>
        <w:rPr>
          <w:rFonts w:ascii="Calibri" w:cs="Calibri" w:eastAsia="Calibri" w:hAnsi="Calibri"/>
          <w:b/>
          <w:bCs/>
          <w:i w:val="false"/>
          <w:iCs w:val="false"/>
          <w:strike w:val="false"/>
          <w:color w:val="000000"/>
          <w:sz w:val="22"/>
          <w:szCs w:val="22"/>
        </w:rPr>
        <w:t xml:space="preserve">Core Inputs:</w:t>
      </w:r>
      <w:r>
        <w:rPr>
          <w:rFonts w:ascii="Calibri" w:cs="Calibri" w:eastAsia="Calibri" w:hAnsi="Calibri"/>
          <w:b w:val="false"/>
          <w:bCs w:val="false"/>
          <w:i w:val="false"/>
          <w:iCs w:val="false"/>
          <w:strike w:val="false"/>
          <w:color w:val="000000"/>
          <w:sz w:val="22"/>
          <w:szCs w:val="22"/>
        </w:rPr>
        <w:t xml:space="preserve"> Canonical YAML artifacts, templates (DOTX, Pandoc, PPTX, XLSX, HTML), schema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Output Format</w:t>
            </w:r>
          </w:p>
        </w:tc>
        <w:tc>
          <w:tcPr>
            <w:tcW w:type="pct" w:w="14%"/>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Extension</w:t>
            </w:r>
          </w:p>
        </w:tc>
        <w:tc>
          <w:tcPr>
            <w:tcW w:type="pct" w:w="6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Primary Use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Word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.docx</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Governance review, stakeholder distribution</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PDF</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.pdf</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Final distribution, archival, print</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PowerPoint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.pptx</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briefings, program reviews</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Excel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.xlsx</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Control matrices, parameter tables, crosswalks</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HTML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.html</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GitHub Pages publication, web distribution</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Markdown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.md</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Developer documentation, in-repo rendering</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21.3 Compilation Pipeline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Stage</w:t>
            </w:r>
          </w:p>
        </w:tc>
        <w:tc>
          <w:tcPr>
            <w:tcW w:type="pct" w:w="56%"/>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Process</w:t>
            </w:r>
          </w:p>
        </w:tc>
        <w:tc>
          <w:tcPr>
            <w:tcW w:type="pct" w:w="29%"/>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Output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1. Ingest</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YAML Canon loaded from </w:t>
            </w:r>
            <w:r>
              <w:rPr>
                <w:rFonts w:ascii="Courier New" w:cs="Courier New" w:eastAsia="Courier New" w:hAnsi="Courier New"/>
                <w:b w:val="false"/>
                <w:bCs w:val="false"/>
                <w:i w:val="false"/>
                <w:iCs w:val="false"/>
                <w:color w:val="000000"/>
                <w:sz w:val="20"/>
                <w:szCs w:val="20"/>
                <w:shd w:fill="F3F4F6" w:color="auto" w:val="clear"/>
              </w:rPr>
              <w:t xml:space="preserve">data/control-library/</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Raw YAML objects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2. Validate</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Schema validation against gold standard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Validated objects or error report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3. Normalize</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Field normalization, kebab-case enforcement, cross-reference resolution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Normalized canonical objects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4. Bind</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Template binding — objects mapped to output templates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Bound template instances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 Assemble</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Document assembly — sections composed, TOC generated, cross-references linked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Assembled document</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6. Export</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Format-specific rendering (DOCX, PDF, PPTX, XLSX, HTML, MD)</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Publication-ready artifacts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 Publish</w:t>
            </w:r>
          </w:p>
        </w:tc>
        <w:tc>
          <w:tcPr>
            <w:tcW w:type="pct" w:w="5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Deployment to GitHub Pages, artifact repositories, distribution channels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Published, versioned outputs</w:t>
            </w:r>
          </w:p>
        </w:tc>
      </w:tr>
    </w:tbl>
    <w:p>
      <w:pPr>
        <w:spacing w:after="200" w:before="0"/>
      </w:pPr>
    </w:p>
    <w:p>
      <w:pPr>
        <w:pStyle w:val="Heading1"/>
        <w:spacing w:after="100" w:before="600" w:line="360" w:lineRule="auto"/>
      </w:pPr>
      <w:r>
        <w:rPr>
          <w:rFonts w:ascii="Calibri" w:cs="Calibri" w:eastAsia="Calibri" w:hAnsi="Calibri"/>
          <w:color w:val="4472C4"/>
          <w:sz w:val="48"/>
          <w:szCs w:val="48"/>
        </w:rPr>
        <w:t xml:space="preserve">Section 22: Document Status and Version Control</w:t>
      </w:r>
    </w:p>
    <w:p>
      <w:pPr>
        <w:pBdr>
          <w:top w:val="single" w:color="4472C4"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Attribute</w:t>
            </w:r>
          </w:p>
        </w:tc>
        <w:tc>
          <w:tcPr>
            <w:tcW w:type="pct" w:w="8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Value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Version</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Date</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March 2026</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Status</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Canonical and drift-free as of compilation date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Source Repository</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https://github.com/WhalerMike/uiao-core</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License</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Apache-2.0</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Commit History</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1,049+ commits on main branch</w:t>
            </w:r>
          </w:p>
        </w:tc>
      </w:tr>
      <w:tr>
        <w:trPr>
          <w:tblHeader w:val="false"/>
        </w:trPr>
        <w:tc>
          <w:tcPr>
            <w:tcW w:type="pct" w:w="2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Authority</w:t>
            </w:r>
          </w:p>
        </w:tc>
        <w:tc>
          <w:tcPr>
            <w:tcW w:type="pct" w:w="8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This reference architecture is the single authoritative compilation of all UIAO canonical materials</w:t>
            </w:r>
          </w:p>
        </w:tc>
      </w:tr>
    </w:tbl>
    <w:p>
      <w:pPr>
        <w:spacing w:after="200" w:before="0"/>
      </w:pPr>
    </w:p>
    <w:p>
      <w:pPr>
        <w:pStyle w:val="Heading3"/>
        <w:spacing w:after="120" w:before="280" w:line="360" w:lineRule="auto"/>
      </w:pPr>
      <w:r>
        <w:rPr>
          <w:rFonts w:ascii="Calibri" w:cs="Calibri" w:eastAsia="Calibri" w:hAnsi="Calibri"/>
          <w:color w:val="2B5797"/>
          <w:sz w:val="28"/>
          <w:szCs w:val="28"/>
        </w:rPr>
        <w:t xml:space="preserve">22.1 Source Documents Compiled</w:t>
      </w:r>
    </w:p>
    <w:p>
      <w:pPr>
        <w:spacing w:after="120" w:before="60" w:line="360" w:lineRule="auto"/>
        <w:jc w:val="both"/>
      </w:pPr>
      <w:r>
        <w:rPr>
          <w:rFonts w:ascii="Calibri" w:cs="Calibri" w:eastAsia="Calibri" w:hAnsi="Calibri"/>
          <w:b w:val="false"/>
          <w:bCs w:val="false"/>
          <w:i w:val="false"/>
          <w:iCs w:val="false"/>
          <w:strike w:val="false"/>
          <w:color w:val="000000"/>
          <w:sz w:val="22"/>
          <w:szCs w:val="22"/>
        </w:rPr>
        <w:t xml:space="preserve">The following source documents were compiled into this reference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Source Document</w:t>
            </w:r>
          </w:p>
        </w:tc>
        <w:tc>
          <w:tcPr>
            <w:tcW w:type="pct" w:w="60%"/>
            <w:shd w:fill="4472C4"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2"/>
                <w:szCs w:val="22"/>
              </w:rPr>
              <w:t xml:space="preserve">Contribution</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Main Specification V1</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Core architecture, seven fundamental concepts, runtime model</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UIAO-Core Context Primer</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Executive framework, 17-Point Canon, compliance landscape</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Root Directory v4</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Canonical directory structure and expansion rules</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Crosswalk Index v1</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Cross-plane matrix and dependency mapping</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Cloud Boundary Rule Naming</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Cloud boundary statement, exceptions, GCC scope</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ZeroTrust NAC Fabric Ledger</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Key parameters, control library, YAML schema</w:t>
            </w:r>
          </w:p>
        </w:tc>
      </w:tr>
      <w:tr>
        <w:trPr>
          <w:tblHeader w:val="false"/>
        </w:trPr>
        <w:tc>
          <w:tcPr>
            <w:tcW w:type="pct" w:w="40%"/>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UIAO Document Compiler Specification</w:t>
            </w:r>
          </w:p>
        </w:tc>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2"/>
                <w:szCs w:val="22"/>
              </w:rPr>
              <w:t xml:space="preserve">UDC pipeline, input/output formats, automation model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4472C4" w:sz="24"/>
              <w:bottom w:val="nil" w:color="FFFFFF" w:sz="0"/>
              <w:right w:val="nil" w:color="FFFFFF" w:sz="0"/>
            </w:tcBorders>
            <w:shd w:fill="D6E4F0" w:color="auto" w:val="clear"/>
            <w:tcMar>
              <w:top w:type="dxa" w:w="150"/>
              <w:left w:type="dxa" w:w="210"/>
              <w:bottom w:type="dxa" w:w="150"/>
              <w:right w:type="dxa" w:w="210"/>
            </w:tcMar>
          </w:tcPr>
          <w:p>
            <w:pPr>
              <w:spacing w:after="60" w:line="360" w:lineRule="auto"/>
              <w:jc w:val="both"/>
            </w:pPr>
            <w:r>
              <w:rPr>
                <w:rFonts w:ascii="Calibri" w:cs="Calibri" w:eastAsia="Calibri" w:hAnsi="Calibri"/>
                <w:b/>
                <w:bCs/>
                <w:i w:val="false"/>
                <w:iCs w:val="false"/>
                <w:strike w:val="false"/>
                <w:color w:val="000000"/>
                <w:sz w:val="22"/>
                <w:szCs w:val="22"/>
              </w:rPr>
              <w:t xml:space="preserve">Canonical Authority:</w:t>
            </w:r>
            <w:r>
              <w:rPr>
                <w:rFonts w:ascii="Calibri" w:cs="Calibri" w:eastAsia="Calibri" w:hAnsi="Calibri"/>
                <w:b w:val="false"/>
                <w:bCs w:val="false"/>
                <w:i w:val="false"/>
                <w:iCs w:val="false"/>
                <w:strike w:val="false"/>
                <w:color w:val="000000"/>
                <w:sz w:val="22"/>
                <w:szCs w:val="22"/>
              </w:rPr>
              <w:t xml:space="preserve"> This document supersedes all prior individual specifications for the purpose of reference architecture review and implementation planning. Individual canonical documents remain authoritative for their specific domain detail. In case of conflict, the source YAML canon is the final arbiter.</w:t>
            </w:r>
          </w:p>
        </w:tc>
      </w:tr>
    </w:tbl>
    <w:p>
      <w:pPr>
        <w:spacing w:after="240" w:before="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UIAO Reference Architecture — Version 1.0 — March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CUI // FOUO — Distribution limited to authorized personnel</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https://github.com/WhalerMike/uiao-core — Apache-2.0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TGuXwdTYfBawUdrLreCrG</dc:title>
  <dc:creator>Un-named</dc:creator>
  <dc:description>Generated document</dc:description>
  <cp:lastModifiedBy>Un-named</cp:lastModifiedBy>
  <cp:revision>1</cp:revision>
  <dcterms:created xsi:type="dcterms:W3CDTF">2026-03-31T20:04:12.551Z</dcterms:created>
  <dcterms:modified xsi:type="dcterms:W3CDTF">2026-03-31T20:04:12.551Z</dcterms:modified>
</cp:coreProperties>
</file>

<file path=docProps/custom.xml><?xml version="1.0" encoding="utf-8"?>
<Properties xmlns="http://schemas.openxmlformats.org/officeDocument/2006/custom-properties" xmlns:vt="http://schemas.openxmlformats.org/officeDocument/2006/docPropsVTypes"/>
</file>