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75.png" ContentType="image/png"/>
  <Override PartName="/word/media/rId38.png" ContentType="image/png"/>
  <Override PartName="/word/media/rId9.png" ContentType="image/png"/>
  <Override PartName="/word/media/rId27.png" ContentType="image/png"/>
  <Override PartName="/word/media/rId35.png" ContentType="image/png"/>
  <Override PartName="/word/media/rId57.png" ContentType="image/png"/>
  <Override PartName="/word/media/rId63.png" ContentType="image/png"/>
  <Override PartName="/word/media/rId134.png" ContentType="image/png"/>
  <Override PartName="/word/media/rId79.png" ContentType="image/png"/>
  <Override PartName="/word/media/rId70.png" ContentType="image/png"/>
  <Override PartName="/word/media/rId32.png" ContentType="image/png"/>
  <Override PartName="/word/media/rId87.png" ContentType="image/png"/>
  <Override PartName="/word/media/rId19.png" ContentType="image/png"/>
  <Override PartName="/word/media/rId123.png" ContentType="image/png"/>
  <Override PartName="/word/media/rId24.png" ContentType="image/png"/>
  <Override PartName="/word/media/rId60.png" ContentType="image/png"/>
  <Override PartName="/word/media/rId154.png" ContentType="image/png"/>
  <Override PartName="/word/media/rId131.png" ContentType="image/png"/>
  <Override PartName="/word/media/rId102.svg" ContentType="image/svg+xml"/>
  <Override PartName="/word/media/rId107.svg" ContentType="image/svg+xml"/>
  <Override PartName="/word/media/rId115.png" ContentType="image/png"/>
  <Override PartName="/word/media/rId46.png" ContentType="image/png"/>
  <Override PartName="/word/media/rId52.png" ContentType="image/png"/>
  <Override PartName="/word/media/rId12.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09:14 ET</w:t>
            </w:r>
          </w:p>
          <w:p/>
        </w:tc>
      </w:tr>
    </w:tbl>
    <w:p>
      <w:r>
        <w:pict>
          <v:rect style="width:0;height:1.5pt" o:hralign="center" o:hrstd="t" o:hr="t"/>
        </w:pict>
      </w:r>
    </w:p>
    <w:bookmarkStart w:id="15"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one of a small number of DDI platforms with its own FedRAMP Moderate CSO authorization; verify current authorization on the FedRAMP Marketplace at time of procurement,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t xml:space="preserve">InfoBlox DDI can be deployed via two architecturally distinct paths; the choice determines the FedRAMP authorization inheritance model:</w:t>
      </w:r>
    </w:p>
    <w:p>
      <w:pPr>
        <w:pStyle w:val="BodyText"/>
      </w:pPr>
      <w:r>
        <w:rPr>
          <w:b/>
          <w:bCs/>
        </w:rPr>
        <w:t xml:space="preserve">Path A — BloxOne DDI (Cloud-Managed, FedRAMP ATO Inherited)</w:t>
      </w:r>
    </w:p>
    <w:p>
      <w:pPr>
        <w:pStyle w:val="BodyText"/>
      </w:pPr>
      <w:r>
        <w:t xml:space="preserve">InfoBlox operates the management control plane on AWS GovCloud (CSO FR2017257053, authorized January 2023). The agency deploys BloxOne On-Prem Hosts in each environment; they connect to the InfoBlox-hosted management plane. FedRAMP authorization is inherited from InfoBlox’s ATO — the agency does not carry this component independently. Procurement via AWS GovCloud Marketplace (no separate IDIQ required). Best fit if the agency prefers a managed control plane and the simplest FedRAMP inheritance path.</w:t>
      </w:r>
    </w:p>
    <w:p>
      <w:pPr>
        <w:pStyle w:val="BodyText"/>
      </w:pPr>
      <w:r>
        <w:rPr>
          <w:b/>
          <w:bCs/>
        </w:rPr>
        <w:t xml:space="preserve">Path B — NIOS Grid (Agency-Operated, On-Premises Hub)</w:t>
      </w:r>
    </w:p>
    <w:p>
      <w:pPr>
        <w:pStyle w:val="BodyText"/>
      </w:pPr>
      <w:r>
        <w:t xml:space="preserve">The agency deploys an InfoBlox NIOS virtual appliance as the Grid Master on-premises (VMware ESXi or physical InfoBlox appliance). Grid Members are deployed in each environment (AWS GovCloud, Azure Government, Oracle OCI, additional on-premises sites) as spokes. The on-premises Grid Master is the authoritative hub; all Grid Members replicate configuration from it and handle local DNS/DHCP/IPAM for their environment. The agency documents NIOS within its own FedRAMP boundary — no ATO inheritance from InfoBlox’s CSO. Procurement via GSA Schedule (GS-35F) or agency IDIQ contract vehicle.</w:t>
      </w:r>
    </w:p>
    <w:p>
      <w:pPr>
        <w:pStyle w:val="BlockText"/>
      </w:pPr>
      <w:r>
        <w:rPr>
          <w:b/>
          <w:bCs/>
        </w:rPr>
        <w:t xml:space="preserve">SSA topology note:</w:t>
      </w:r>
      <w:r>
        <w:t xml:space="preserve"> </w:t>
      </w:r>
      <w:r>
        <w:t xml:space="preserve">For SSA’s multi-cloud architecture spanning AWS GovCloud, Azure Government, Oracle OCI, and on-premises VMware, Path B — NIOS Grid with an on-premises Grid Master — more closely matches SSA’s topology. No single cloud provider is the hub; all four environments are equal spokes of the on-premises control plane. The decision between Path A and Path B should involve OIS and the CIO Office, as it determines whether InfoBlox is a shared-responsibility SaaS or an agency-operated infrastructure component. Agency selection pending.</w:t>
      </w:r>
    </w:p>
    <w:p>
      <w:pPr>
        <w:pStyle w:val="CaptionedFigure"/>
      </w:pPr>
      <w:r>
        <w:drawing>
          <wp:inline>
            <wp:extent cx="5334000" cy="3000375"/>
            <wp:effectExtent b="0" l="0" r="0" t="0"/>
            <wp:docPr descr="Deployment Paths — Path A (BloxOne DDI, cloud-managed) vs. Path B (NIOS Grid, agency-operated)" title="" id="13" name="Picture"/>
            <a:graphic>
              <a:graphicData uri="http://schemas.openxmlformats.org/drawingml/2006/picture">
                <pic:pic>
                  <pic:nvPicPr>
                    <pic:cNvPr descr="figs/lz-fig-21-deployment-paths.png" id="14" name="Picture"/>
                    <pic:cNvPicPr>
                      <a:picLocks noChangeArrowheads="1" noChangeAspect="1"/>
                    </pic:cNvPicPr>
                  </pic:nvPicPr>
                  <pic:blipFill>
                    <a:blip r:embed="rId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Deployment Paths — Path A (BloxOne DDI, cloud-managed) vs. Path B (NIOS Grid, agency-operated)</w:t>
      </w:r>
    </w:p>
    <w:p>
      <w:r>
        <w:pict>
          <v:rect style="width:0;height:1.5pt" o:hralign="center" o:hrstd="t" o:hr="t"/>
        </w:pict>
      </w:r>
    </w:p>
    <w:bookmarkEnd w:id="15"/>
    <w:bookmarkStart w:id="31"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C:\Program File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20" name="Picture"/>
            <a:graphic>
              <a:graphicData uri="http://schemas.openxmlformats.org/drawingml/2006/picture">
                <pic:pic>
                  <pic:nvPicPr>
                    <pic:cNvPr descr="figs/lz-fig-10-fedramp-20x.png" id="21" name="Picture"/>
                    <pic:cNvPicPr>
                      <a:picLocks noChangeArrowheads="1" noChangeAspect="1"/>
                    </pic:cNvPicPr>
                  </pic:nvPicPr>
                  <pic:blipFill>
                    <a:blip r:embed="rId1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Quarto\share\formats\docx\important.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30"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25" name="Picture"/>
            <a:graphic>
              <a:graphicData uri="http://schemas.openxmlformats.org/drawingml/2006/picture">
                <pic:pic>
                  <pic:nvPicPr>
                    <pic:cNvPr descr="figs/lz-fig-12-four-env.png" id="26" name="Picture"/>
                    <pic:cNvPicPr>
                      <a:picLocks noChangeArrowheads="1" noChangeAspect="1"/>
                    </pic:cNvPicPr>
                  </pic:nvPicPr>
                  <pic:blipFill>
                    <a:blip r:embed="rId2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8" name="Picture"/>
            <a:graphic>
              <a:graphicData uri="http://schemas.openxmlformats.org/drawingml/2006/picture">
                <pic:pic>
                  <pic:nvPicPr>
                    <pic:cNvPr descr="figs/lz-fig-01-control-hub.png" id="29" name="Picture"/>
                    <pic:cNvPicPr>
                      <a:picLocks noChangeArrowheads="1" noChangeAspect="1"/>
                    </pic:cNvPicPr>
                  </pic:nvPicPr>
                  <pic:blipFill>
                    <a:blip r:embed="rId27"/>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30"/>
    <w:bookmarkEnd w:id="31"/>
    <w:bookmarkStart w:id="45"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33" name="Picture"/>
            <a:graphic>
              <a:graphicData uri="http://schemas.openxmlformats.org/drawingml/2006/picture">
                <pic:pic>
                  <pic:nvPicPr>
                    <pic:cNvPr descr="figs/lz-fig-08-dns-journey.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6" name="Picture"/>
            <a:graphic>
              <a:graphicData uri="http://schemas.openxmlformats.org/drawingml/2006/picture">
                <pic:pic>
                  <pic:nvPicPr>
                    <pic:cNvPr descr="figs/lz-fig-02-sdn-dhcp.png" id="37" name="Picture"/>
                    <pic:cNvPicPr>
                      <a:picLocks noChangeArrowheads="1" noChangeAspect="1"/>
                    </pic:cNvPicPr>
                  </pic:nvPicPr>
                  <pic:blipFill>
                    <a:blip r:embed="rId3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41"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m Files\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41"/>
    <w:bookmarkStart w:id="42"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42"/>
    <w:bookmarkStart w:id="43"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43"/>
    <w:bookmarkStart w:id="44"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44"/>
    <w:bookmarkEnd w:id="45"/>
    <w:bookmarkStart w:id="85"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p>
      <w:pPr>
        <w:pStyle w:val="CaptionedFigure"/>
      </w:pPr>
      <w:r>
        <w:drawing>
          <wp:inline>
            <wp:extent cx="5334000" cy="2461846"/>
            <wp:effectExtent b="0" l="0" r="0" t="0"/>
            <wp:docPr descr="From Manual Address Management to a Policy-Driven DDI Control Plane" title="" id="47" name="Picture"/>
            <a:graphic>
              <a:graphicData uri="http://schemas.openxmlformats.org/drawingml/2006/picture">
                <pic:pic>
                  <pic:nvPicPr>
                    <pic:cNvPr descr="figs/lz-fig-19-legacy-modern-ipam.png" id="48" name="Picture"/>
                    <pic:cNvPicPr>
                      <a:picLocks noChangeArrowheads="1" noChangeAspect="1"/>
                    </pic:cNvPicPr>
                  </pic:nvPicPr>
                  <pic:blipFill>
                    <a:blip r:embed="rId46"/>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From Manual Address Management to a Policy-Driven DDI Control Plane</w:t>
      </w:r>
    </w:p>
    <w:bookmarkStart w:id="49"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9"/>
    <w:bookmarkStart w:id="55" w:name="sec-gridmaster-trust"/>
    <w:p>
      <w:pPr>
        <w:pStyle w:val="Heading3"/>
      </w:pPr>
      <w:r>
        <w:t xml:space="preserve">3.2 Grid Master Deployment — On-Premises VMware and the Trust Case</w:t>
      </w:r>
    </w:p>
    <w:p>
      <w:pPr>
        <w:pStyle w:val="FirstParagraph"/>
      </w:pPr>
      <w:r>
        <w:t xml:space="preserve">For SSA, the InfoBlox NIOS Grid Master should be deployed as a</w:t>
      </w:r>
      <w:r>
        <w:t xml:space="preserve"> </w:t>
      </w:r>
      <w:r>
        <w:rPr>
          <w:b/>
          <w:bCs/>
        </w:rPr>
        <w:t xml:space="preserve">virtual machine on on-premises VMware infrastructure</w:t>
      </w:r>
      <w:r>
        <w:t xml:space="preserve"> </w:t>
      </w:r>
      <w:r>
        <w:t xml:space="preserve">(Path B from the Executive Summary). This is not only a technical topology choice — it is a trust architecture decision. DNS, DHCP, and IPAM together constitute the network naming and addressing control plane: every device’s address, every workload’s hostname, and every certificate’s subject name flows through them. Placing the Grid Master on-premises means SSA retains:</w:t>
      </w:r>
    </w:p>
    <w:p>
      <w:pPr>
        <w:pStyle w:val="Compact"/>
        <w:numPr>
          <w:ilvl w:val="0"/>
          <w:numId w:val="1003"/>
        </w:numPr>
      </w:pPr>
      <w:r>
        <w:rPr>
          <w:b/>
          <w:bCs/>
        </w:rPr>
        <w:t xml:space="preserve">Hypervisor-layer control</w:t>
      </w:r>
      <w:r>
        <w:t xml:space="preserve"> </w:t>
      </w:r>
      <w:r>
        <w:t xml:space="preserve">— the Grid Master VM runs under SSA infrastructure team governance, not a cloud provider’s control plane</w:t>
      </w:r>
    </w:p>
    <w:p>
      <w:pPr>
        <w:pStyle w:val="Compact"/>
        <w:numPr>
          <w:ilvl w:val="0"/>
          <w:numId w:val="1003"/>
        </w:numPr>
      </w:pPr>
      <w:r>
        <w:rPr>
          <w:b/>
          <w:bCs/>
        </w:rPr>
        <w:t xml:space="preserve">Physical network isolation</w:t>
      </w:r>
      <w:r>
        <w:t xml:space="preserve"> </w:t>
      </w:r>
      <w:r>
        <w:t xml:space="preserve">— the master is reachable from all four environments via dedicated management interfaces, not via public internet or cloud-provider backbone</w:t>
      </w:r>
    </w:p>
    <w:p>
      <w:pPr>
        <w:pStyle w:val="Compact"/>
        <w:numPr>
          <w:ilvl w:val="0"/>
          <w:numId w:val="1003"/>
        </w:numPr>
      </w:pPr>
      <w:r>
        <w:rPr>
          <w:b/>
          <w:bCs/>
        </w:rPr>
        <w:t xml:space="preserve">No single-cloud dependency</w:t>
      </w:r>
      <w:r>
        <w:t xml:space="preserve"> </w:t>
      </w:r>
      <w:r>
        <w:t xml:space="preserve">— if any one cloud environment (AWS GovCloud, Azure Government, OCI) experiences an outage or a control-plane incident, the Grid Master continues to function from on-premises</w:t>
      </w:r>
    </w:p>
    <w:p>
      <w:pPr>
        <w:pStyle w:val="Compact"/>
        <w:numPr>
          <w:ilvl w:val="0"/>
          <w:numId w:val="1003"/>
        </w:numPr>
      </w:pPr>
      <w:r>
        <w:rPr>
          <w:b/>
          <w:bCs/>
        </w:rPr>
        <w:t xml:space="preserve">Boundary clarity</w:t>
      </w:r>
      <w:r>
        <w:t xml:space="preserve"> </w:t>
      </w:r>
      <w:r>
        <w:t xml:space="preserve">— the NIOS Grid falls within SSA’s own FedRAMP authorization boundary; the agency controls the ATO evidence rather than inheriting it from a vendor CSO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Program Files\Quarto\share\formats\docx\important.png" id="5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Trust rationale:</w:t>
            </w:r>
            <w:r>
              <w:t xml:space="preserve"> </w:t>
            </w:r>
            <w:r>
              <w:t xml:space="preserve">DNS poisoning, DHCP scope hijacking, and IPAM record manipulation are among the highest-impact attack vectors against network infrastructure. An adversary who controls the Grid Master can redirect any FQDN, drain any IP subnet, or suppress any workload’s DNS record — effectively owning the naming plane for all four SSA environments simultaneously. On-premises VMware deployment keeps this function under SSA’s direct institutional control.</w:t>
            </w:r>
          </w:p>
          <w:p>
            <w:pPr>
              <w:pStyle w:val="BodyText"/>
            </w:pPr>
            <w:pPr>
              <w:spacing w:after="16"/>
            </w:pPr>
            <w:r>
              <w:rPr>
                <w:b/>
                <w:bCs/>
              </w:rPr>
              <w:t xml:space="preserve">OIS and the CIO Office must validate the trust boundary decision and define the Grid Admin role-holder accountability model before the Grid is deployed.</w:t>
            </w:r>
          </w:p>
          <w:p/>
        </w:tc>
      </w:tr>
    </w:tbl>
    <w:p>
      <w:pPr>
        <w:pStyle w:val="CaptionedFigure"/>
      </w:pPr>
      <w:r>
        <w:drawing>
          <wp:inline>
            <wp:extent cx="5334000" cy="2667000"/>
            <wp:effectExtent b="0" l="0" r="0" t="0"/>
            <wp:docPr descr="InfoBlox NIOS Grid Master — Least-Privilege Delegation Model" title="" id="53" name="Picture"/>
            <a:graphic>
              <a:graphicData uri="http://schemas.openxmlformats.org/drawingml/2006/picture">
                <pic:pic>
                  <pic:nvPicPr>
                    <pic:cNvPr descr="figs/lz-fig-20-ipam-delegation.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NIOS Grid Master — Least-Privilege Delegation Model</w:t>
      </w:r>
    </w:p>
    <w:bookmarkEnd w:id="55"/>
    <w:bookmarkStart w:id="56" w:name="sec-ipam-delegation"/>
    <w:p>
      <w:pPr>
        <w:pStyle w:val="Heading3"/>
      </w:pPr>
      <w:r>
        <w:t xml:space="preserve">3.3 Least-Privilege Role Delegation</w:t>
      </w:r>
    </w:p>
    <w:p>
      <w:pPr>
        <w:pStyle w:val="FirstParagraph"/>
      </w:pPr>
      <w:r>
        <w:t xml:space="preserve">The Grid Master holds total administrative authority over DNS, DHCP, and IPAM. That authority</w:t>
      </w:r>
      <w:r>
        <w:t xml:space="preserve"> </w:t>
      </w:r>
      <w:r>
        <w:rPr>
          <w:b/>
          <w:bCs/>
        </w:rPr>
        <w:t xml:space="preserve">must not reside in a single operational role</w:t>
      </w:r>
      <w:r>
        <w:t xml:space="preserve">. SSA should structure InfoBlox administrative access as four delegated function areas, each assigned to the owning CIO Component with read/write access scoped only to their area:</w:t>
      </w:r>
    </w:p>
    <w:p>
      <w:pPr>
        <w:pStyle w:val="TableCaption"/>
      </w:pPr>
      <w:r>
        <w:t xml:space="preserve">InfoBlox Least-Privilege Role Delegation</w:t>
      </w:r>
    </w:p>
    <w:tbl>
      <w:tblPr>
        <w:tblStyle w:val="Table"/>
        <w:tblW w:type="pct" w:w="5000"/>
        <w:tblLayout w:type="fixed"/>
        <w:tblLook w:firstRow="1" w:lastRow="0" w:firstColumn="0" w:lastColumn="0" w:noHBand="0" w:noVBand="0" w:val="0020"/>
        <w:tblCaption w:val="InfoBlox Least-Privilege Role Delegation"/>
      </w:tblPr>
      <w:tblGrid>
        <w:gridCol w:w="1980"/>
        <w:gridCol w:w="1980"/>
        <w:gridCol w:w="1980"/>
        <w:gridCol w:w="1980"/>
      </w:tblGrid>
      <w:tr>
        <w:trPr>
          <w:tblHeader w:val="on"/>
        </w:trPr>
        <w:tc>
          <w:tcPr/>
          <w:p>
            <w:pPr>
              <w:pStyle w:val="Compact"/>
            </w:pPr>
            <w:r>
              <w:t xml:space="preserve">Function</w:t>
            </w:r>
          </w:p>
        </w:tc>
        <w:tc>
          <w:tcPr/>
          <w:p>
            <w:pPr>
              <w:pStyle w:val="Compact"/>
            </w:pPr>
            <w:r>
              <w:t xml:space="preserve">Delegated To</w:t>
            </w:r>
          </w:p>
        </w:tc>
        <w:tc>
          <w:tcPr/>
          <w:p>
            <w:pPr>
              <w:pStyle w:val="Compact"/>
            </w:pPr>
            <w:r>
              <w:t xml:space="preserve">Scope</w:t>
            </w:r>
          </w:p>
        </w:tc>
        <w:tc>
          <w:tcPr/>
          <w:p>
            <w:pPr>
              <w:pStyle w:val="Compact"/>
            </w:pPr>
            <w:r>
              <w:t xml:space="preserve">Cannot Access</w:t>
            </w:r>
          </w:p>
        </w:tc>
      </w:tr>
      <w:tr>
        <w:tc>
          <w:tcPr/>
          <w:p>
            <w:pPr>
              <w:pStyle w:val="Compact"/>
            </w:pPr>
            <w:r>
              <w:rPr>
                <w:b/>
                <w:bCs/>
              </w:rPr>
              <w:t xml:space="preserve">DNS zone management</w:t>
            </w:r>
          </w:p>
        </w:tc>
        <w:tc>
          <w:tcPr/>
          <w:p>
            <w:pPr>
              <w:pStyle w:val="Compact"/>
            </w:pPr>
            <w:r>
              <w:t xml:space="preserve">Network / DNS Team</w:t>
            </w:r>
          </w:p>
        </w:tc>
        <w:tc>
          <w:tcPr/>
          <w:p>
            <w:pPr>
              <w:pStyle w:val="Compact"/>
            </w:pPr>
            <w:r>
              <w:t xml:space="preserve">Read/write on assigned DNS zones; DNSSEC key custody shared with OIS</w:t>
            </w:r>
          </w:p>
        </w:tc>
        <w:tc>
          <w:tcPr/>
          <w:p>
            <w:pPr>
              <w:pStyle w:val="Compact"/>
            </w:pPr>
            <w:r>
              <w:t xml:space="preserve">Other CIO Component zones; DHCP config; SCEP triggers</w:t>
            </w:r>
          </w:p>
        </w:tc>
      </w:tr>
      <w:tr>
        <w:tc>
          <w:tcPr/>
          <w:p>
            <w:pPr>
              <w:pStyle w:val="Compact"/>
            </w:pPr>
            <w:r>
              <w:rPr>
                <w:b/>
                <w:bCs/>
              </w:rPr>
              <w:t xml:space="preserve">DHCP scope management</w:t>
            </w:r>
          </w:p>
        </w:tc>
        <w:tc>
          <w:tcPr/>
          <w:p>
            <w:pPr>
              <w:pStyle w:val="Compact"/>
            </w:pPr>
            <w:r>
              <w:t xml:space="preserve">Network Infrastructure Team</w:t>
            </w:r>
          </w:p>
        </w:tc>
        <w:tc>
          <w:tcPr/>
          <w:p>
            <w:pPr>
              <w:pStyle w:val="Compact"/>
            </w:pPr>
            <w:r>
              <w:t xml:space="preserve">Read/write on assigned IP subnets and DHCP scopes</w:t>
            </w:r>
          </w:p>
        </w:tc>
        <w:tc>
          <w:tcPr/>
          <w:p>
            <w:pPr>
              <w:pStyle w:val="Compact"/>
            </w:pPr>
            <w:r>
              <w:t xml:space="preserve">DNS zone records; other teams’ subnets; SCEP policy</w:t>
            </w:r>
          </w:p>
        </w:tc>
      </w:tr>
      <w:tr>
        <w:tc>
          <w:tcPr/>
          <w:p>
            <w:pPr>
              <w:pStyle w:val="Compact"/>
            </w:pPr>
            <w:r>
              <w:rPr>
                <w:b/>
                <w:bCs/>
              </w:rPr>
              <w:t xml:space="preserve">SCEP / cert binding</w:t>
            </w:r>
          </w:p>
        </w:tc>
        <w:tc>
          <w:tcPr/>
          <w:p>
            <w:pPr>
              <w:pStyle w:val="Compact"/>
            </w:pPr>
            <w:r>
              <w:t xml:space="preserve">OIS / PKI Team</w:t>
            </w:r>
          </w:p>
        </w:tc>
        <w:tc>
          <w:tcPr/>
          <w:p>
            <w:pPr>
              <w:pStyle w:val="Compact"/>
            </w:pPr>
            <w:r>
              <w:t xml:space="preserve">Trigger SCEP enrollment at A-record creation; bind cert CN to DNS FQDN</w:t>
            </w:r>
          </w:p>
        </w:tc>
        <w:tc>
          <w:tcPr/>
          <w:p>
            <w:pPr>
              <w:pStyle w:val="Compact"/>
            </w:pPr>
            <w:r>
              <w:t xml:space="preserve">Zone configuration; DHCP scopes; other teams’ cert policies</w:t>
            </w:r>
          </w:p>
        </w:tc>
      </w:tr>
      <w:tr>
        <w:tc>
          <w:tcPr/>
          <w:p>
            <w:pPr>
              <w:pStyle w:val="Compact"/>
            </w:pPr>
            <w:r>
              <w:rPr>
                <w:b/>
                <w:bCs/>
              </w:rPr>
              <w:t xml:space="preserve">Cloud Grid Member management</w:t>
            </w:r>
          </w:p>
        </w:tc>
        <w:tc>
          <w:tcPr/>
          <w:p>
            <w:pPr>
              <w:pStyle w:val="Compact"/>
            </w:pPr>
            <w:r>
              <w:t xml:space="preserve">Per-environment Cloud Infra Teams (AWS GovCloud, Azure Government, OCI)</w:t>
            </w:r>
          </w:p>
        </w:tc>
        <w:tc>
          <w:tcPr/>
          <w:p>
            <w:pPr>
              <w:pStyle w:val="Compact"/>
            </w:pPr>
            <w:r>
              <w:t xml:space="preserve">Configure local Grid Member for assigned cloud environment</w:t>
            </w:r>
          </w:p>
        </w:tc>
        <w:tc>
          <w:tcPr/>
          <w:p>
            <w:pPr>
              <w:pStyle w:val="Compact"/>
            </w:pPr>
            <w:r>
              <w:t xml:space="preserve">Grid Master policy; other environments’ Grid Members</w:t>
            </w:r>
          </w:p>
        </w:tc>
      </w:tr>
      <w:tr>
        <w:tc>
          <w:tcPr/>
          <w:p>
            <w:pPr>
              <w:pStyle w:val="Compact"/>
            </w:pPr>
            <w:r>
              <w:rPr>
                <w:b/>
                <w:bCs/>
              </w:rPr>
              <w:t xml:space="preserve">Grid Admin (full authority)</w:t>
            </w:r>
          </w:p>
        </w:tc>
        <w:tc>
          <w:tcPr/>
          <w:p>
            <w:pPr>
              <w:pStyle w:val="Compact"/>
            </w:pPr>
            <w:r>
              <w:t xml:space="preserve">CIO/OIS-designated Grid Administrator</w:t>
            </w:r>
          </w:p>
        </w:tc>
        <w:tc>
          <w:tcPr/>
          <w:p>
            <w:pPr>
              <w:pStyle w:val="Compact"/>
            </w:pPr>
            <w:r>
              <w:t xml:space="preserve">Full DDI policy control</w:t>
            </w:r>
          </w:p>
        </w:tc>
        <w:tc>
          <w:tcPr/>
          <w:p>
            <w:pPr>
              <w:pStyle w:val="Compact"/>
            </w:pPr>
            <w:r>
              <w:t xml:space="preserve">— (must be protected with MFA + privileged access workstation)</w:t>
            </w:r>
          </w:p>
        </w:tc>
      </w:tr>
    </w:tbl>
    <w:p>
      <w:pPr>
        <w:pStyle w:val="BodyText"/>
      </w:pPr>
      <w:r>
        <w:rPr>
          <w:b/>
          <w:bCs/>
        </w:rPr>
        <w:t xml:space="preserve">DNS function separation applies to sub-functions as well.</w:t>
      </w:r>
      <w:r>
        <w:t xml:space="preserve"> </w:t>
      </w:r>
      <w:r>
        <w:t xml:space="preserve">Within DNS zone management, component-level zone delegation allows different CIO Components to own their sub-namespaces:</w:t>
      </w:r>
    </w:p>
    <w:p>
      <w:pPr>
        <w:pStyle w:val="Compact"/>
        <w:numPr>
          <w:ilvl w:val="0"/>
          <w:numId w:val="1004"/>
        </w:numPr>
      </w:pPr>
      <w:r>
        <w:rPr>
          <w:rStyle w:val="VerbatimChar"/>
        </w:rPr>
        <w:t xml:space="preserve">aws.ssa.gov</w:t>
      </w:r>
      <w:r>
        <w:t xml:space="preserve"> </w:t>
      </w:r>
      <w:r>
        <w:t xml:space="preserve">sub-zone — delegated to Cloud Infrastructure team (AWS)</w:t>
      </w:r>
    </w:p>
    <w:p>
      <w:pPr>
        <w:pStyle w:val="Compact"/>
        <w:numPr>
          <w:ilvl w:val="0"/>
          <w:numId w:val="1004"/>
        </w:numPr>
      </w:pPr>
      <w:r>
        <w:rPr>
          <w:rStyle w:val="VerbatimChar"/>
        </w:rPr>
        <w:t xml:space="preserve">azure.ssa.gov</w:t>
      </w:r>
      <w:r>
        <w:t xml:space="preserve"> </w:t>
      </w:r>
      <w:r>
        <w:t xml:space="preserve">sub-zone — delegated to Cloud Infrastructure team (Azure)</w:t>
      </w:r>
    </w:p>
    <w:p>
      <w:pPr>
        <w:pStyle w:val="Compact"/>
        <w:numPr>
          <w:ilvl w:val="0"/>
          <w:numId w:val="1004"/>
        </w:numPr>
      </w:pPr>
      <w:r>
        <w:rPr>
          <w:rStyle w:val="VerbatimChar"/>
        </w:rPr>
        <w:t xml:space="preserve">oci.ssa.gov</w:t>
      </w:r>
      <w:r>
        <w:t xml:space="preserve"> </w:t>
      </w:r>
      <w:r>
        <w:t xml:space="preserve">sub-zone — delegated to Cloud Infrastructure team (OCI)</w:t>
      </w:r>
    </w:p>
    <w:p>
      <w:pPr>
        <w:pStyle w:val="Compact"/>
        <w:numPr>
          <w:ilvl w:val="0"/>
          <w:numId w:val="1004"/>
        </w:numPr>
      </w:pPr>
      <w:r>
        <w:rPr>
          <w:rStyle w:val="VerbatimChar"/>
        </w:rPr>
        <w:t xml:space="preserve">onprem.ssa.gov</w:t>
      </w:r>
      <w:r>
        <w:t xml:space="preserve"> </w:t>
      </w:r>
      <w:r>
        <w:t xml:space="preserve">sub-zone — delegated to on-premises Network Infrastructure team</w:t>
      </w:r>
    </w:p>
    <w:p>
      <w:pPr>
        <w:pStyle w:val="Compact"/>
        <w:numPr>
          <w:ilvl w:val="0"/>
          <w:numId w:val="1004"/>
        </w:numPr>
      </w:pPr>
      <w:r>
        <w:rPr>
          <w:rStyle w:val="VerbatimChar"/>
        </w:rPr>
        <w:t xml:space="preserve">apps.ssa.gov</w:t>
      </w:r>
      <w:r>
        <w:t xml:space="preserve"> </w:t>
      </w:r>
      <w:r>
        <w:t xml:space="preserve">sub-zone — delegated to Application Development / DevOps</w:t>
      </w:r>
    </w:p>
    <w:p>
      <w:pPr>
        <w:pStyle w:val="FirstParagraph"/>
      </w:pPr>
      <w:r>
        <w:t xml:space="preserve">Each delegated zone owner can create, modify, and delete records within their zone without touching any other component’s DNS namespace. The Grid Master enforces zone-level access control; cross-zone queries still resolve via Grid Member forwarding, but record modification rights are strictly scoped.</w:t>
      </w:r>
    </w:p>
    <w:bookmarkEnd w:id="56"/>
    <w:bookmarkStart w:id="69" w:name="sec-microsoft"/>
    <w:p>
      <w:pPr>
        <w:pStyle w:val="Heading3"/>
      </w:pPr>
      <w:r>
        <w:t xml:space="preserve">3.4 Microsoft Partnership: M365 GCC Endpoint Lifecycle</w:t>
      </w:r>
    </w:p>
    <w:p>
      <w:pPr>
        <w:pStyle w:val="CaptionedFigure"/>
      </w:pPr>
      <w:r>
        <w:drawing>
          <wp:inline>
            <wp:extent cx="5334000" cy="3022600"/>
            <wp:effectExtent b="0" l="0" r="0" t="0"/>
            <wp:docPr descr="Microsoft × InfoBlox Technology Partnership — Six Integration Points" title="" id="58" name="Picture"/>
            <a:graphic>
              <a:graphicData uri="http://schemas.openxmlformats.org/drawingml/2006/picture">
                <pic:pic>
                  <pic:nvPicPr>
                    <pic:cNvPr descr="figs/lz-fig-03-ms-partnership.png" id="59" name="Picture"/>
                    <pic:cNvPicPr>
                      <a:picLocks noChangeArrowheads="1" noChangeAspect="1"/>
                    </pic:cNvPicPr>
                  </pic:nvPicPr>
                  <pic:blipFill>
                    <a:blip r:embed="rId57"/>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68" w:name="m365-gcc-boundary-enforcement"/>
    <w:p>
      <w:pPr>
        <w:pStyle w:val="Heading4"/>
      </w:pPr>
      <w:r>
        <w:t xml:space="preserve">3.4.1 M365 GCC Boundary Enforcement</w:t>
      </w:r>
    </w:p>
    <w:p>
      <w:pPr>
        <w:pStyle w:val="CaptionedFigure"/>
      </w:pPr>
      <w:r>
        <w:drawing>
          <wp:inline>
            <wp:extent cx="5334000" cy="2963333"/>
            <wp:effectExtent b="0" l="0" r="0" t="0"/>
            <wp:docPr descr="M365 GCC Boundary Gap: Manual vs. Automated Enforcement" title="" id="61" name="Picture"/>
            <a:graphic>
              <a:graphicData uri="http://schemas.openxmlformats.org/drawingml/2006/picture">
                <pic:pic>
                  <pic:nvPicPr>
                    <pic:cNvPr descr="figs/lz-fig-13-boundary-gap.png" id="62" name="Picture"/>
                    <pic:cNvPicPr>
                      <a:picLocks noChangeArrowheads="1" noChangeAspect="1"/>
                    </pic:cNvPicPr>
                  </pic:nvPicPr>
                  <pic:blipFill>
                    <a:blip r:embed="rId6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64" name="Picture"/>
            <a:graphic>
              <a:graphicData uri="http://schemas.openxmlformats.org/drawingml/2006/picture">
                <pic:pic>
                  <pic:nvPicPr>
                    <pic:cNvPr descr="figs/lz-fig-04-m365-pipeline.png" id="65" name="Picture"/>
                    <pic:cNvPicPr>
                      <a:picLocks noChangeArrowheads="1" noChangeAspect="1"/>
                    </pic:cNvPicPr>
                  </pic:nvPicPr>
                  <pic:blipFill>
                    <a:blip r:embed="rId63"/>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5"/>
        </w:numPr>
      </w:pPr>
      <w:r>
        <w:rPr>
          <w:b/>
          <w:bCs/>
        </w:rPr>
        <w:t xml:space="preserve">Daily poll</w:t>
      </w:r>
      <w:r>
        <w:t xml:space="preserve"> </w:t>
      </w:r>
      <w:r>
        <w:t xml:space="preserve">of the Microsoft M365 GCC endpoint API (version-change detection)</w:t>
      </w:r>
    </w:p>
    <w:p>
      <w:pPr>
        <w:pStyle w:val="Compact"/>
        <w:numPr>
          <w:ilvl w:val="0"/>
          <w:numId w:val="1005"/>
        </w:numPr>
      </w:pPr>
      <w:r>
        <w:rPr>
          <w:b/>
          <w:bCs/>
        </w:rPr>
        <w:t xml:space="preserve">RPZ passthrough allow-list</w:t>
      </w:r>
      <w:r>
        <w:t xml:space="preserve"> </w:t>
      </w:r>
      <w:r>
        <w:t xml:space="preserve">— GCC FQDNs explicitly allowed through threat blocking</w:t>
      </w:r>
    </w:p>
    <w:p>
      <w:pPr>
        <w:pStyle w:val="Compact"/>
        <w:numPr>
          <w:ilvl w:val="0"/>
          <w:numId w:val="1005"/>
        </w:numPr>
      </w:pPr>
      <w:r>
        <w:rPr>
          <w:b/>
          <w:bCs/>
        </w:rPr>
        <w:t xml:space="preserve">RPZ block list</w:t>
      </w:r>
      <w:r>
        <w:t xml:space="preserve"> </w:t>
      </w:r>
      <w:r>
        <w:t xml:space="preserve">— commercial M365 FQDNs (non-GCC) blocked at DNS layer</w:t>
      </w:r>
    </w:p>
    <w:p>
      <w:pPr>
        <w:pStyle w:val="Compact"/>
        <w:numPr>
          <w:ilvl w:val="0"/>
          <w:numId w:val="1005"/>
        </w:numPr>
      </w:pPr>
      <w:r>
        <w:rPr>
          <w:b/>
          <w:bCs/>
        </w:rPr>
        <w:t xml:space="preserve">Azure NSG IP Group</w:t>
      </w:r>
      <w:r>
        <w:t xml:space="preserve"> </w:t>
      </w:r>
      <w:r>
        <w:t xml:space="preserve">update — GCC Optimize IP ranges pushed to Azure Government</w:t>
      </w:r>
    </w:p>
    <w:p>
      <w:pPr>
        <w:pStyle w:val="Compact"/>
        <w:numPr>
          <w:ilvl w:val="0"/>
          <w:numId w:val="1005"/>
        </w:numPr>
      </w:pPr>
      <w:r>
        <w:rPr>
          <w:b/>
          <w:bCs/>
        </w:rPr>
        <w:t xml:space="preserve">AWS GovCloud Security Group</w:t>
      </w:r>
      <w:r>
        <w:t xml:space="preserve"> </w:t>
      </w:r>
      <w:r>
        <w:t xml:space="preserve">update — GCC IP ranges for outbound rules</w:t>
      </w:r>
    </w:p>
    <w:p>
      <w:pPr>
        <w:pStyle w:val="Compact"/>
        <w:numPr>
          <w:ilvl w:val="0"/>
          <w:numId w:val="1005"/>
        </w:numPr>
      </w:pPr>
      <w:r>
        <w:rPr>
          <w:b/>
          <w:bCs/>
        </w:rPr>
        <w:t xml:space="preserve">VPN split-tunnel DNS</w:t>
      </w:r>
      <w:r>
        <w:t xml:space="preserve"> </w:t>
      </w:r>
      <w:r>
        <w:t xml:space="preserve">— M365 Optimize FQDNs route via local interface, not VPN tunnel</w:t>
      </w:r>
    </w:p>
    <w:p>
      <w:pPr>
        <w:pStyle w:val="Compact"/>
        <w:numPr>
          <w:ilvl w:val="0"/>
          <w:numId w:val="1005"/>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Program Files\Quarto\share\formats\docx\warning.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68"/>
    <w:bookmarkEnd w:id="69"/>
    <w:bookmarkStart w:id="78" w:name="sec-aws"/>
    <w:p>
      <w:pPr>
        <w:pStyle w:val="Heading3"/>
      </w:pPr>
      <w:r>
        <w:t xml:space="preserve">3.5 AWS Partnership: BloxOne Runs ON AWS GovCloud</w:t>
      </w:r>
    </w:p>
    <w:p>
      <w:pPr>
        <w:pStyle w:val="CaptionedFigure"/>
      </w:pPr>
      <w:r>
        <w:drawing>
          <wp:inline>
            <wp:extent cx="5334000" cy="2844800"/>
            <wp:effectExtent b="0" l="0" r="0" t="0"/>
            <wp:docPr descr="AWS GovCloud × InfoBlox — BloxOne DDI Federal Hosted on AWS, LZA DNS Alignment" title="" id="71" name="Picture"/>
            <a:graphic>
              <a:graphicData uri="http://schemas.openxmlformats.org/drawingml/2006/picture">
                <pic:pic>
                  <pic:nvPicPr>
                    <pic:cNvPr descr="figs/lz-fig-07-aws-lza.png" id="72" name="Picture"/>
                    <pic:cNvPicPr>
                      <a:picLocks noChangeArrowheads="1" noChangeAspect="1"/>
                    </pic:cNvPicPr>
                  </pic:nvPicPr>
                  <pic:blipFill>
                    <a:blip r:embed="rId7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Program Files\Quarto\share\formats\docx\tip.png" id="7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6"/>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6"/>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6"/>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6"/>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6"/>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Program File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78"/>
    <w:bookmarkStart w:id="84" w:name="sec-oracle"/>
    <w:p>
      <w:pPr>
        <w:pStyle w:val="Heading3"/>
      </w:pPr>
      <w:r>
        <w:t xml:space="preserve">3.6 Oracle Cloud / OCI: OPM HRIT Future Integration</w:t>
      </w:r>
    </w:p>
    <w:p>
      <w:pPr>
        <w:pStyle w:val="CaptionedFigure"/>
      </w:pPr>
      <w:r>
        <w:drawing>
          <wp:inline>
            <wp:extent cx="5334000" cy="2933700"/>
            <wp:effectExtent b="0" l="0" r="0" t="0"/>
            <wp:docPr descr="OPM HRIT on Oracle OCI — SSA Inter-Agency Integration via InfoBlox Certificate Monitor" title="" id="80" name="Picture"/>
            <a:graphic>
              <a:graphicData uri="http://schemas.openxmlformats.org/drawingml/2006/picture">
                <pic:pic>
                  <pic:nvPicPr>
                    <pic:cNvPr descr="figs/lz-fig-06-opm-hrit.png" id="81" name="Picture"/>
                    <pic:cNvPicPr>
                      <a:picLocks noChangeArrowheads="1" noChangeAspect="1"/>
                    </pic:cNvPicPr>
                  </pic:nvPicPr>
                  <pic:blipFill>
                    <a:blip r:embed="rId79"/>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OPM HRIT (federal HR and benefits processing) to Oracle HCM Cloud on OCI. As OPM’s OPM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OPM HRIT API TLS certificate without SSA’s trust stores being updated, the OPM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Program Files\Quarto\share\formats\docx\important.png" id="8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84"/>
    <w:bookmarkEnd w:id="85"/>
    <w:bookmarkStart w:id="97"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86">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88" name="Picture"/>
            <a:graphic>
              <a:graphicData uri="http://schemas.openxmlformats.org/drawingml/2006/picture">
                <pic:pic>
                  <pic:nvPicPr>
                    <pic:cNvPr descr="figs/lz-fig-09-cert-lifecycle.png" id="89" name="Picture"/>
                    <pic:cNvPicPr>
                      <a:picLocks noChangeArrowheads="1" noChangeAspect="1"/>
                    </pic:cNvPicPr>
                  </pic:nvPicPr>
                  <pic:blipFill>
                    <a:blip r:embed="rId8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90"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7"/>
        </w:numPr>
      </w:pPr>
      <w:r>
        <w:t xml:space="preserve">VM or container provisioned by VCF Automation, Terraform, or cloud-native IaC</w:t>
      </w:r>
    </w:p>
    <w:p>
      <w:pPr>
        <w:pStyle w:val="Compact"/>
        <w:numPr>
          <w:ilvl w:val="0"/>
          <w:numId w:val="1007"/>
        </w:numPr>
      </w:pPr>
      <w:r>
        <w:t xml:space="preserve">InfoBlox IPAM allocates an IP from the correct Network View (cross-cloud conflict-checked)</w:t>
      </w:r>
    </w:p>
    <w:p>
      <w:pPr>
        <w:pStyle w:val="Compact"/>
        <w:numPr>
          <w:ilvl w:val="0"/>
          <w:numId w:val="1007"/>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7"/>
        </w:numPr>
      </w:pPr>
      <w:r>
        <w:t xml:space="preserve">Workload bootstrap sends SCEP or EST enrollment to the agency CA using the DNS name as the certificate SAN</w:t>
      </w:r>
    </w:p>
    <w:p>
      <w:pPr>
        <w:pStyle w:val="Compact"/>
        <w:numPr>
          <w:ilvl w:val="0"/>
          <w:numId w:val="1007"/>
        </w:numPr>
      </w:pPr>
      <w:r>
        <w:t xml:space="preserve">CA (ADCS, Azure Key Vault with SCEP, AWS ACM Private CA) issues a certificate binding the SAN to the workload</w:t>
      </w:r>
    </w:p>
    <w:p>
      <w:pPr>
        <w:pStyle w:val="Compact"/>
        <w:numPr>
          <w:ilvl w:val="0"/>
          <w:numId w:val="1007"/>
        </w:numPr>
      </w:pPr>
      <w:r>
        <w:t xml:space="preserve">InfoBlox Certificate Tracker receives the certificate thumbprint, expiry, and issuing CA, binding it to the IP host record</w:t>
      </w:r>
    </w:p>
    <w:p>
      <w:pPr>
        <w:pStyle w:val="Compact"/>
        <w:numPr>
          <w:ilvl w:val="0"/>
          <w:numId w:val="1007"/>
        </w:numPr>
      </w:pPr>
      <w:r>
        <w:t xml:space="preserve">mTLS is active: the workload presents the certificate to authenticate to other services</w:t>
      </w:r>
    </w:p>
    <w:p>
      <w:pPr>
        <w:pStyle w:val="Compact"/>
        <w:numPr>
          <w:ilvl w:val="0"/>
          <w:numId w:val="1007"/>
        </w:numPr>
      </w:pPr>
      <w:r>
        <w:t xml:space="preserve">90/30/7 days before expiry, InfoBlox Certificate Tracker generates alerts for timely renewal</w:t>
      </w:r>
    </w:p>
    <w:bookmarkEnd w:id="90"/>
    <w:bookmarkStart w:id="96"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Program Files\Quarto\share\formats\docx\tip.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Program Files\Quarto\share\formats\docx\note.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NAC Endpoints and DNS/Certificate Binding (Books 02 and 03):</w:t>
            </w:r>
            <w:r>
              <w:t xml:space="preserve"> </w:t>
            </w:r>
            <w:r>
              <w:t xml:space="preserve">The DNS A-record + SCEP certificate compound provisioning described above applies to</w:t>
            </w:r>
            <w:r>
              <w:t xml:space="preserve"> </w:t>
            </w:r>
            <w:r>
              <w:rPr>
                <w:b/>
                <w:bCs/>
              </w:rPr>
              <w:t xml:space="preserve">cloud workloads</w:t>
            </w:r>
            <w:r>
              <w:t xml:space="preserve"> </w:t>
            </w:r>
            <w:r>
              <w:t xml:space="preserve">(VMs and containers). For</w:t>
            </w:r>
            <w:r>
              <w:t xml:space="preserve"> </w:t>
            </w:r>
            <w:r>
              <w:rPr>
                <w:b/>
                <w:bCs/>
              </w:rPr>
              <w:t xml:space="preserve">NAC-enrolled endpoint devices</w:t>
            </w:r>
            <w:r>
              <w:t xml:space="preserve"> </w:t>
            </w:r>
            <w:r>
              <w:t xml:space="preserve">— laptops, workstations, and managed endpoints that authenticate via 802.1X EAP-TLS — the same compound pattern applies but is triggered differently:</w:t>
            </w:r>
          </w:p>
          <w:p>
            <w:pPr>
              <w:pStyle w:val="Compact"/>
              <w:numPr>
                <w:ilvl w:val="0"/>
                <w:numId w:val="1008"/>
              </w:numPr>
            </w:pPr>
            <w:r>
              <w:rPr>
                <w:b/>
                <w:bCs/>
              </w:rPr>
              <w:t xml:space="preserve">Intune/SCEP enrollment</w:t>
            </w:r>
            <w:r>
              <w:t xml:space="preserve"> </w:t>
            </w:r>
            <w:r>
              <w:t xml:space="preserve">(covered in</w:t>
            </w:r>
            <w:r>
              <w:t xml:space="preserve"> </w:t>
            </w:r>
            <w:hyperlink r:id="rId95">
              <w:r>
                <w:rPr>
                  <w:rStyle w:val="Hyperlink"/>
                </w:rPr>
                <w:t xml:space="preserve">Book 02</w:t>
              </w:r>
            </w:hyperlink>
            <w:r>
              <w:t xml:space="preserve">) issues the machine certificate with</w:t>
            </w:r>
            <w:r>
              <w:t xml:space="preserve"> </w:t>
            </w:r>
            <w:r>
              <w:rPr>
                <w:rStyle w:val="VerbatimChar"/>
              </w:rPr>
              <w:t xml:space="preserve">CN={{DeviceName}}</w:t>
            </w:r>
            <w:r>
              <w:t xml:space="preserve"> </w:t>
            </w:r>
            <w:r>
              <w:t xml:space="preserve">and SAN bound to the device’s Entra ID FQDN.</w:t>
            </w:r>
          </w:p>
          <w:p>
            <w:pPr>
              <w:pStyle w:val="Compact"/>
              <w:numPr>
                <w:ilvl w:val="0"/>
                <w:numId w:val="1008"/>
              </w:numPr>
            </w:pPr>
            <w:r>
              <w:rPr>
                <w:b/>
                <w:bCs/>
              </w:rPr>
              <w:t xml:space="preserve">DNS A/PTR record</w:t>
            </w:r>
            <w:r>
              <w:t xml:space="preserve"> </w:t>
            </w:r>
            <w:r>
              <w:t xml:space="preserve">for the endpoint should be confirmed or created in InfoBlox at DHCP lease assignment — binding the device’s DNS hostname (from Entra ID) to the DHCP-assigned IP address in the IPAM record.</w:t>
            </w:r>
          </w:p>
          <w:p>
            <w:pPr>
              <w:pStyle w:val="Compact"/>
              <w:numPr>
                <w:ilvl w:val="0"/>
                <w:numId w:val="1008"/>
              </w:numPr>
            </w:pPr>
            <w:r>
              <w:t xml:space="preserve">Together, steps 1 and 2 produce a device where</w:t>
            </w:r>
            <w:r>
              <w:t xml:space="preserve"> </w:t>
            </w:r>
            <w:r>
              <w:rPr>
                <w:b/>
                <w:bCs/>
              </w:rPr>
              <w:t xml:space="preserve">name, address, and key are bound at admission</w:t>
            </w:r>
            <w:r>
              <w:t xml:space="preserve"> </w:t>
            </w:r>
            <w:r>
              <w:t xml:space="preserve">— the same compound guarantee that workload provisioning achieves, extended to the endpoint population.</w:t>
            </w:r>
          </w:p>
          <w:p>
            <w:pPr>
              <w:pStyle w:val="FirstParagraph"/>
            </w:pPr>
            <w:pPr>
              <w:spacing w:after="16"/>
            </w:pPr>
            <w:r>
              <w:t xml:space="preserve">This linkage — that every NAC-admitted device carries both a DNS hostname and a machine certificate, and that InfoBlox holds the authoritative binding record — is the shared foundation of</w:t>
            </w:r>
            <w:r>
              <w:t xml:space="preserve"> </w:t>
            </w:r>
            <w:hyperlink r:id="rId95">
              <w:r>
                <w:rPr>
                  <w:rStyle w:val="Hyperlink"/>
                </w:rPr>
                <w:t xml:space="preserve">Book 02</w:t>
              </w:r>
            </w:hyperlink>
            <w:r>
              <w:t xml:space="preserve"> </w:t>
            </w:r>
            <w:r>
              <w:t xml:space="preserve">(NAC/802.1X) and</w:t>
            </w:r>
            <w:r>
              <w:t xml:space="preserve"> </w:t>
            </w:r>
            <w:hyperlink r:id="rId86">
              <w:r>
                <w:rPr>
                  <w:rStyle w:val="Hyperlink"/>
                </w:rPr>
                <w:t xml:space="preserve">Book 03</w:t>
              </w:r>
            </w:hyperlink>
            <w:r>
              <w:t xml:space="preserve"> </w:t>
            </w:r>
            <w:r>
              <w:t xml:space="preserve">(Cryptographic Identity). The design decision for this binding must be validated with OIS.</w:t>
            </w:r>
          </w:p>
          <w:p/>
        </w:tc>
      </w:tr>
    </w:tbl>
    <w:p>
      <w:r>
        <w:pict>
          <v:rect style="width:0;height:1.5pt" o:hralign="center" o:hrstd="t" o:hr="t"/>
        </w:pict>
      </w:r>
    </w:p>
    <w:bookmarkEnd w:id="96"/>
    <w:bookmarkEnd w:id="97"/>
    <w:bookmarkStart w:id="114"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101"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CaptionedFigure"/>
      </w:pPr>
      <w:r>
        <w:drawing>
          <wp:inline>
            <wp:extent cx="5334000" cy="3000375"/>
            <wp:effectExtent b="0" l="0" r="0" t="0"/>
            <wp:docPr descr="Split-Brain DNS — Same Query, Different Answers, and Why Process Discipline Can’t Fix It" title="" id="99" name="Picture"/>
            <a:graphic>
              <a:graphicData uri="http://schemas.openxmlformats.org/drawingml/2006/picture">
                <pic:pic>
                  <pic:nvPicPr>
                    <pic:cNvPr descr="figs/lz-fig-22-split-brain-dns.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Split-Brain DNS — Same Query, Different Answers, and Why Process Discipline Can’t Fix It</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101"/>
    <w:bookmarkStart w:id="105"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103" name="Picture"/>
            <a:graphic>
              <a:graphicData uri="http://schemas.openxmlformats.org/drawingml/2006/picture">
                <pic:pic>
                  <pic:nvPicPr>
                    <pic:cNvPr descr="figs/lz-fig-16-subdomain-hierarchy.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105"/>
    <w:bookmarkStart w:id="106"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106"/>
    <w:bookmarkStart w:id="110"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108" name="Picture"/>
            <a:graphic>
              <a:graphicData uri="http://schemas.openxmlformats.org/drawingml/2006/picture">
                <pic:pic>
                  <pic:nvPicPr>
                    <pic:cNvPr descr="figs/lz-fig-17-split-horizon.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110"/>
    <w:bookmarkStart w:id="111"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111"/>
    <w:bookmarkStart w:id="112"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112"/>
    <w:bookmarkStart w:id="113"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113"/>
    <w:bookmarkEnd w:id="114"/>
    <w:bookmarkStart w:id="119"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CaptionedFigure"/>
      </w:pPr>
      <w:r>
        <w:drawing>
          <wp:inline>
            <wp:extent cx="5334000" cy="2667000"/>
            <wp:effectExtent b="0" l="0" r="0" t="0"/>
            <wp:docPr descr="InfoBlox DTC — DNS-Based Traffic Steering Across On-Premises and Multi-Cloud Endpoints" title="" id="116" name="Picture"/>
            <a:graphic>
              <a:graphicData uri="http://schemas.openxmlformats.org/drawingml/2006/picture">
                <pic:pic>
                  <pic:nvPicPr>
                    <pic:cNvPr descr="figs/lz-fig-18-dns-traffic-steering.png" id="117" name="Picture"/>
                    <pic:cNvPicPr>
                      <a:picLocks noChangeArrowheads="1" noChangeAspect="1"/>
                    </pic:cNvPicPr>
                  </pic:nvPicPr>
                  <pic:blipFill>
                    <a:blip r:embed="rId11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DTC — DNS-Based Traffic Steering Across On-Premises and Multi-Cloud Endpoints</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118">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119"/>
    <w:bookmarkStart w:id="122"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Program Files\Quarto\share\formats\docx\important.png" id="1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122"/>
    <w:bookmarkStart w:id="130"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24" name="Picture"/>
            <a:graphic>
              <a:graphicData uri="http://schemas.openxmlformats.org/drawingml/2006/picture">
                <pic:pic>
                  <pic:nvPicPr>
                    <pic:cNvPr descr="figs/lz-fig-11-zt-staircase.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26"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26"/>
    <w:bookmarkStart w:id="127"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9"/>
        </w:numPr>
      </w:pPr>
      <w:r>
        <w:t xml:space="preserve">SCEP/EST automation issues certificates to every new workload at provisioning time, establishing machine identity before the first connection</w:t>
      </w:r>
    </w:p>
    <w:p>
      <w:pPr>
        <w:pStyle w:val="Compact"/>
        <w:numPr>
          <w:ilvl w:val="0"/>
          <w:numId w:val="1009"/>
        </w:numPr>
      </w:pPr>
      <w:r>
        <w:t xml:space="preserve">Certificate-to-IP binding enables network devices to verify workload identity from the DNS/IPAM layer without agent deployment</w:t>
      </w:r>
    </w:p>
    <w:p>
      <w:pPr>
        <w:pStyle w:val="Compact"/>
        <w:numPr>
          <w:ilvl w:val="0"/>
          <w:numId w:val="1009"/>
        </w:numPr>
      </w:pPr>
      <w:r>
        <w:t xml:space="preserve">Certificate expiry alerting prevents identity credential expiration — a common cause of authentication outages</w:t>
      </w:r>
    </w:p>
    <w:bookmarkEnd w:id="127"/>
    <w:bookmarkStart w:id="128"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10"/>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10"/>
        </w:numPr>
      </w:pPr>
      <w:r>
        <w:rPr>
          <w:b/>
          <w:bCs/>
        </w:rPr>
        <w:t xml:space="preserve">DHCP/IP event telemetry:</w:t>
      </w:r>
      <w:r>
        <w:t xml:space="preserve"> </w:t>
      </w:r>
      <w:r>
        <w:t xml:space="preserve">every IP allocation, renewal, and release with device metadata</w:t>
      </w:r>
    </w:p>
    <w:p>
      <w:pPr>
        <w:pStyle w:val="Compact"/>
        <w:numPr>
          <w:ilvl w:val="0"/>
          <w:numId w:val="1010"/>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28"/>
    <w:bookmarkStart w:id="129"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11"/>
        </w:numPr>
      </w:pPr>
      <w:r>
        <w:t xml:space="preserve">Network resource provisioning (IP, DNS, cert) is automated in IaC pipelines — no manual steps that bypass policy</w:t>
      </w:r>
    </w:p>
    <w:p>
      <w:pPr>
        <w:pStyle w:val="Compact"/>
        <w:numPr>
          <w:ilvl w:val="0"/>
          <w:numId w:val="1011"/>
        </w:numPr>
      </w:pPr>
      <w:r>
        <w:t xml:space="preserve">VCF 9.1 native InfoBlox integration automates DDI for VMware workloads from day one</w:t>
      </w:r>
    </w:p>
    <w:p>
      <w:pPr>
        <w:pStyle w:val="Compact"/>
        <w:numPr>
          <w:ilvl w:val="0"/>
          <w:numId w:val="1011"/>
        </w:numPr>
      </w:pPr>
      <w:r>
        <w:t xml:space="preserve">RPZ updates are automated from threat intelligence feeds — human review required only for false positive exceptions</w:t>
      </w:r>
    </w:p>
    <w:p>
      <w:r>
        <w:pict>
          <v:rect style="width:0;height:1.5pt" o:hralign="center" o:hrstd="t" o:hr="t"/>
        </w:pict>
      </w:r>
    </w:p>
    <w:bookmarkEnd w:id="129"/>
    <w:bookmarkEnd w:id="130"/>
    <w:bookmarkStart w:id="139"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32" name="Picture"/>
            <a:graphic>
              <a:graphicData uri="http://schemas.openxmlformats.org/drawingml/2006/picture">
                <pic:pic>
                  <pic:nvPicPr>
                    <pic:cNvPr descr="figs/lz-fig-15-rpz-gate.png" id="133" name="Picture"/>
                    <pic:cNvPicPr>
                      <a:picLocks noChangeArrowheads="1" noChangeAspect="1"/>
                    </pic:cNvPicPr>
                  </pic:nvPicPr>
                  <pic:blipFill>
                    <a:blip r:embed="rId13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35" name="Picture"/>
            <a:graphic>
              <a:graphicData uri="http://schemas.openxmlformats.org/drawingml/2006/picture">
                <pic:pic>
                  <pic:nvPicPr>
                    <pic:cNvPr descr="figs/lz-fig-05-boundary.png" id="136" name="Picture"/>
                    <pic:cNvPicPr>
                      <a:picLocks noChangeArrowheads="1" noChangeAspect="1"/>
                    </pic:cNvPicPr>
                  </pic:nvPicPr>
                  <pic:blipFill>
                    <a:blip r:embed="rId13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Program Files\Quarto\share\formats\docx\important.png" id="1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95">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12"/>
        </w:numPr>
      </w:pPr>
      <w:r>
        <w:t xml:space="preserve">RPZ blocks commercial M365 endpoints (prevents FedRAMP data reaching non-GCC Microsoft infrastructure)</w:t>
      </w:r>
    </w:p>
    <w:p>
      <w:pPr>
        <w:pStyle w:val="Compact"/>
        <w:numPr>
          <w:ilvl w:val="0"/>
          <w:numId w:val="1012"/>
        </w:numPr>
      </w:pPr>
      <w:r>
        <w:t xml:space="preserve">RPZ blocks non-FedRAMP SaaS FQDNs (prevents workloads from reaching unauthorized cloud services)</w:t>
      </w:r>
    </w:p>
    <w:p>
      <w:pPr>
        <w:pStyle w:val="Compact"/>
        <w:numPr>
          <w:ilvl w:val="0"/>
          <w:numId w:val="1012"/>
        </w:numPr>
      </w:pPr>
      <w:r>
        <w:t xml:space="preserve">Conditional forwarders for external services generate the SA-9 documentation automatically</w:t>
      </w:r>
    </w:p>
    <w:p>
      <w:pPr>
        <w:pStyle w:val="Compact"/>
        <w:numPr>
          <w:ilvl w:val="0"/>
          <w:numId w:val="1012"/>
        </w:numPr>
      </w:pPr>
      <w:r>
        <w:t xml:space="preserve">DNSSEC validation required — DNS spoofing that could redirect traffic outside the boundary is rejected</w:t>
      </w:r>
    </w:p>
    <w:p>
      <w:pPr>
        <w:pStyle w:val="Compact"/>
        <w:numPr>
          <w:ilvl w:val="0"/>
          <w:numId w:val="1012"/>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39"/>
    <w:bookmarkStart w:id="144" w:name="sec-fedramp"/>
    <w:p>
      <w:pPr>
        <w:pStyle w:val="Heading2"/>
      </w:pPr>
      <w:r>
        <w:t xml:space="preserve">10 FedRAMP Moderate and FedRAMP 20x Controls</w:t>
      </w:r>
    </w:p>
    <w:bookmarkStart w:id="140"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40"/>
    <w:bookmarkStart w:id="143"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C:\Program Files\Quarto\share\formats\docx\tip.png" id="14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43"/>
    <w:bookmarkEnd w:id="144"/>
    <w:bookmarkStart w:id="145"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3"/>
        </w:numPr>
      </w:pPr>
      <w:r>
        <w:t xml:space="preserve">Agency A moves a shared service to cloud SaaS (OPM HRIT → OCI)</w:t>
      </w:r>
    </w:p>
    <w:p>
      <w:pPr>
        <w:pStyle w:val="Compact"/>
        <w:numPr>
          <w:ilvl w:val="0"/>
          <w:numId w:val="1013"/>
        </w:numPr>
      </w:pPr>
      <w:r>
        <w:t xml:space="preserve">Agency B (SSA) becomes an API consumer of that SaaS</w:t>
      </w:r>
    </w:p>
    <w:p>
      <w:pPr>
        <w:pStyle w:val="Compact"/>
        <w:numPr>
          <w:ilvl w:val="0"/>
          <w:numId w:val="1013"/>
        </w:numPr>
      </w:pPr>
      <w:r>
        <w:t xml:space="preserve">Agency B has no visibility into Agency A’s certificate rotation, endpoint changes, or IP range changes</w:t>
      </w:r>
    </w:p>
    <w:p>
      <w:pPr>
        <w:pStyle w:val="Compact"/>
        <w:numPr>
          <w:ilvl w:val="0"/>
          <w:numId w:val="1013"/>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4"/>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4"/>
        </w:numPr>
      </w:pPr>
      <w:r>
        <w:rPr>
          <w:b/>
          <w:bCs/>
        </w:rPr>
        <w:t xml:space="preserve">Certificate Tracker endpoint polling</w:t>
      </w:r>
      <w:r>
        <w:t xml:space="preserve"> </w:t>
      </w:r>
      <w:r>
        <w:t xml:space="preserve">— always know when the partner’s TLS cert will expire</w:t>
      </w:r>
    </w:p>
    <w:p>
      <w:pPr>
        <w:pStyle w:val="Compact"/>
        <w:numPr>
          <w:ilvl w:val="0"/>
          <w:numId w:val="1014"/>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4"/>
        </w:numPr>
      </w:pPr>
      <w:r>
        <w:rPr>
          <w:b/>
          <w:bCs/>
        </w:rPr>
        <w:t xml:space="preserve">RPZ passthrough entries</w:t>
      </w:r>
      <w:r>
        <w:t xml:space="preserve"> </w:t>
      </w:r>
      <w:r>
        <w:t xml:space="preserve">— ensure InfoBlox RPZ does not block the inter-agency API calls</w:t>
      </w:r>
    </w:p>
    <w:p>
      <w:pPr>
        <w:pStyle w:val="Compact"/>
        <w:numPr>
          <w:ilvl w:val="0"/>
          <w:numId w:val="1014"/>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45"/>
    <w:bookmarkStart w:id="152" w:name="sec-cmdb"/>
    <w:p>
      <w:pPr>
        <w:pStyle w:val="Heading2"/>
      </w:pPr>
      <w:r>
        <w:t xml:space="preserve">12 System Component Inventory — IPAM, CMDB, and the CM-8 Gap</w:t>
      </w:r>
    </w:p>
    <w:bookmarkStart w:id="148" w:name="ipam-is-not-an-asset-manager"/>
    <w:p>
      <w:pPr>
        <w:pStyle w:val="Heading3"/>
      </w:pPr>
      <w:r>
        <w:t xml:space="preserve">12.1 IPAM Is Not an Asset Manager</w:t>
      </w:r>
    </w:p>
    <w:p>
      <w:pPr>
        <w:pStyle w:val="FirstParagraph"/>
      </w:pPr>
      <w:r>
        <w:t xml:space="preserve">InfoBlox IPAM is the</w:t>
      </w:r>
      <w:r>
        <w:t xml:space="preserve"> </w:t>
      </w:r>
      <w:r>
        <w:rPr>
          <w:b/>
          <w:bCs/>
        </w:rPr>
        <w:t xml:space="preserve">network-layer addressing authority</w:t>
      </w:r>
      <w:r>
        <w:t xml:space="preserve">: every IP allocation, every DNS hostname, every DHCP lease, every machine certificate binding — from this plane’s point of view. It sees every device that has an IP address. It does not see:</w:t>
      </w:r>
    </w:p>
    <w:p>
      <w:pPr>
        <w:pStyle w:val="Compact"/>
        <w:numPr>
          <w:ilvl w:val="0"/>
          <w:numId w:val="1015"/>
        </w:numPr>
      </w:pPr>
      <w:r>
        <w:t xml:space="preserve">What software is installed on a device</w:t>
      </w:r>
    </w:p>
    <w:p>
      <w:pPr>
        <w:pStyle w:val="Compact"/>
        <w:numPr>
          <w:ilvl w:val="0"/>
          <w:numId w:val="1015"/>
        </w:numPr>
      </w:pPr>
      <w:r>
        <w:t xml:space="preserve">Whether a device’s OS is patched</w:t>
      </w:r>
    </w:p>
    <w:p>
      <w:pPr>
        <w:pStyle w:val="Compact"/>
        <w:numPr>
          <w:ilvl w:val="0"/>
          <w:numId w:val="1015"/>
        </w:numPr>
      </w:pPr>
      <w:r>
        <w:t xml:space="preserve">The organizational owner or data classification of a workload</w:t>
      </w:r>
    </w:p>
    <w:p>
      <w:pPr>
        <w:pStyle w:val="Compact"/>
        <w:numPr>
          <w:ilvl w:val="0"/>
          <w:numId w:val="1015"/>
        </w:numPr>
      </w:pPr>
      <w:r>
        <w:t xml:space="preserve">The FedRAMP boundary membership of an asset</w:t>
      </w:r>
    </w:p>
    <w:p>
      <w:pPr>
        <w:pStyle w:val="Compact"/>
        <w:numPr>
          <w:ilvl w:val="0"/>
          <w:numId w:val="1015"/>
        </w:numPr>
      </w:pPr>
      <w:r>
        <w:t xml:space="preserve">Relationships between assets (which application runs on which server, which server supports which system)</w:t>
      </w:r>
    </w:p>
    <w:p>
      <w:pPr>
        <w:pStyle w:val="Compact"/>
        <w:numPr>
          <w:ilvl w:val="0"/>
          <w:numId w:val="1015"/>
        </w:numPr>
      </w:pPr>
      <w:r>
        <w:t xml:space="preserve">Non-IP assets (smart cards, HSMs, air-gapped devices, physical media)</w:t>
      </w:r>
    </w:p>
    <w:p>
      <w:pPr>
        <w:pStyle w:val="FirstParagraph"/>
      </w:pPr>
      <w:r>
        <w:t xml:space="preserve">NIST SP 800-53</w:t>
      </w:r>
      <w:r>
        <w:t xml:space="preserve"> </w:t>
      </w:r>
      <w:r>
        <w:rPr>
          <w:b/>
          <w:bCs/>
        </w:rPr>
        <w:t xml:space="preserve">CM-8 (System Component Inventory)</w:t>
      </w:r>
      <w:r>
        <w:t xml:space="preserve"> </w:t>
      </w:r>
      <w:r>
        <w:t xml:space="preserve">requires an inventory that includes hardware, software, firmware, and system interconnections — not just IP address records. InfoBlox satisfies the addressing dimension of CM-8; it does not satisfy the full control without a complementary CMDB.</w:t>
      </w:r>
    </w:p>
    <w:p>
      <w:pPr>
        <w:pStyle w:val="BodyText"/>
      </w:pPr>
      <w:r>
        <w:t xml:space="preserve">SSA currently operates</w:t>
      </w:r>
      <w:r>
        <w:t xml:space="preserve"> </w:t>
      </w:r>
      <w:r>
        <w:rPr>
          <w:b/>
          <w:bCs/>
        </w:rPr>
        <w:t xml:space="preserve">four asset management surfaces</w:t>
      </w:r>
      <w:r>
        <w:t xml:space="preserve"> </w:t>
      </w:r>
      <w:r>
        <w:t xml:space="preserve">with no unified coordinator: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Scope</w:t>
            </w:r>
          </w:p>
        </w:tc>
        <w:tc>
          <w:tcPr/>
          <w:p>
            <w:pPr>
              <w:pStyle w:val="Compact"/>
            </w:pPr>
            <w:r>
              <w:t xml:space="preserve">What It Misses</w:t>
            </w:r>
          </w:p>
        </w:tc>
      </w:tr>
      <w:tr>
        <w:tc>
          <w:tcPr/>
          <w:p>
            <w:pPr>
              <w:pStyle w:val="Compact"/>
            </w:pPr>
            <w:r>
              <w:rPr>
                <w:b/>
                <w:bCs/>
              </w:rPr>
              <w:t xml:space="preserve">Microsoft Intune</w:t>
            </w:r>
          </w:p>
        </w:tc>
        <w:tc>
          <w:tcPr/>
          <w:p>
            <w:pPr>
              <w:pStyle w:val="Compact"/>
            </w:pPr>
            <w:r>
              <w:t xml:space="preserve">Windows, macOS, iOS, Android managed endpoints</w:t>
            </w:r>
          </w:p>
        </w:tc>
        <w:tc>
          <w:tcPr/>
          <w:p>
            <w:pPr>
              <w:pStyle w:val="Compact"/>
            </w:pPr>
            <w:r>
              <w:t xml:space="preserve">AWS EC2, OCI workloads, non-enrolled VMware VMs, network devices, IoT</w:t>
            </w:r>
          </w:p>
        </w:tc>
      </w:tr>
      <w:tr>
        <w:tc>
          <w:tcPr/>
          <w:p>
            <w:pPr>
              <w:pStyle w:val="Compact"/>
            </w:pPr>
            <w:r>
              <w:rPr>
                <w:b/>
                <w:bCs/>
              </w:rPr>
              <w:t xml:space="preserve">Azure Arc (servers)</w:t>
            </w:r>
          </w:p>
        </w:tc>
        <w:tc>
          <w:tcPr/>
          <w:p>
            <w:pPr>
              <w:pStyle w:val="Compact"/>
            </w:pPr>
            <w:r>
              <w:t xml:space="preserve">Windows Server + Linux on any cloud/on-prem — Arc-enrolled only</w:t>
            </w:r>
          </w:p>
        </w:tc>
        <w:tc>
          <w:tcPr/>
          <w:p>
            <w:pPr>
              <w:pStyle w:val="Compact"/>
            </w:pPr>
            <w:r>
              <w:t xml:space="preserve">Workloads not explicitly Arc-onboarded; OCI-native resources; non-server assets</w:t>
            </w:r>
          </w:p>
        </w:tc>
      </w:tr>
      <w:tr>
        <w:tc>
          <w:tcPr/>
          <w:p>
            <w:pPr>
              <w:pStyle w:val="Compact"/>
            </w:pPr>
            <w:r>
              <w:rPr>
                <w:b/>
                <w:bCs/>
              </w:rPr>
              <w:t xml:space="preserve">AWS Systems Manager (SSM)</w:t>
            </w:r>
          </w:p>
        </w:tc>
        <w:tc>
          <w:tcPr/>
          <w:p>
            <w:pPr>
              <w:pStyle w:val="Compact"/>
            </w:pPr>
            <w:r>
              <w:t xml:space="preserve">AWS EC2 instances (agent-installed)</w:t>
            </w:r>
          </w:p>
        </w:tc>
        <w:tc>
          <w:tcPr/>
          <w:p>
            <w:pPr>
              <w:pStyle w:val="Compact"/>
            </w:pPr>
            <w:r>
              <w:t xml:space="preserve">Azure, OCI, on-prem VMs; endpoint devices; network gear</w:t>
            </w:r>
          </w:p>
        </w:tc>
      </w:tr>
      <w:tr>
        <w:tc>
          <w:tcPr/>
          <w:p>
            <w:pPr>
              <w:pStyle w:val="Compact"/>
            </w:pPr>
            <w:r>
              <w:rPr>
                <w:b/>
                <w:bCs/>
              </w:rPr>
              <w:t xml:space="preserve">VMware vCenter</w:t>
            </w:r>
          </w:p>
        </w:tc>
        <w:tc>
          <w:tcPr/>
          <w:p>
            <w:pPr>
              <w:pStyle w:val="Compact"/>
            </w:pPr>
            <w:r>
              <w:t xml:space="preserve">On-premises VMware VMs and ESXi hosts</w:t>
            </w:r>
          </w:p>
        </w:tc>
        <w:tc>
          <w:tcPr/>
          <w:p>
            <w:pPr>
              <w:pStyle w:val="Compact"/>
            </w:pPr>
            <w:r>
              <w:t xml:space="preserve">Cloud-native workloads; endpoints; network devices</w:t>
            </w:r>
          </w:p>
        </w:tc>
      </w:tr>
    </w:tbl>
    <w:p>
      <w:pPr>
        <w:pStyle w:val="BodyText"/>
      </w:pPr>
      <w:r>
        <w:t xml:space="preserve">InfoBlox IPAM</w:t>
      </w:r>
      <w:r>
        <w:t xml:space="preserve"> </w:t>
      </w:r>
      <w:r>
        <w:rPr>
          <w:b/>
          <w:bCs/>
        </w:rPr>
        <w:t xml:space="preserve">bridges these surfaces at the IP layer</w:t>
      </w:r>
      <w:r>
        <w:t xml:space="preserve"> </w:t>
      </w:r>
      <w:r>
        <w:t xml:space="preserve">— every asset managed by any of the four platforms above will have a DHCP/DNS record in InfoBlox. But correlating IP records to organizational ownership, FedRAMP boundary membership, patch state, and software inventory requires a platform above the addressing layer.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C:\Program Files\Quarto\share\formats\docx\warning.png" id="1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Decision — Asset Manager / CMDB Platform</w:t>
            </w:r>
          </w:p>
        </w:tc>
      </w:tr>
      <w:tr>
        <w:trPr>
          <w:cantSplit/>
        </w:trPr>
        <w:tc>
          <w:tcPr>
            <w:tcMar>
              <w:top w:w="108" w:type="dxa"/>
              <w:bottom w:w="108" w:type="dxa"/>
            </w:tcMar>
          </w:tcPr>
          <w:p>
            <w:pPr>
              <w:pStyle w:val="BodyText"/>
            </w:pPr>
            <w:pPr>
              <w:spacing w:before="16" w:after="16"/>
            </w:pPr>
            <w:r>
              <w:t xml:space="preserve">SSA has not yet selected a unified Asset Manager / CMDB for cross-platform inventory coordination.</w:t>
            </w:r>
            <w:r>
              <w:t xml:space="preserve"> </w:t>
            </w:r>
            <w:r>
              <w:rPr>
                <w:b/>
                <w:bCs/>
              </w:rPr>
              <w:t xml:space="preserve">This decision must be made by the CIO Office with OIS input</w:t>
            </w:r>
            <w:r>
              <w:t xml:space="preserve"> </w:t>
            </w:r>
            <w:r>
              <w:t xml:space="preserve">— it is architecturally significant (determines the CM-8 evidence strategy) and has procurement implications. The requirements below define what the selected platform must satisfy. Specific product selection is pending agency review.</w:t>
            </w:r>
          </w:p>
          <w:p/>
        </w:tc>
      </w:tr>
    </w:tbl>
    <w:p>
      <w:r>
        <w:pict>
          <v:rect style="width:0;height:1.5pt" o:hralign="center" o:hrstd="t" o:hr="t"/>
        </w:pict>
      </w:r>
    </w:p>
    <w:bookmarkEnd w:id="148"/>
    <w:bookmarkStart w:id="149" w:name="sec-cmdb-requirements"/>
    <w:p>
      <w:pPr>
        <w:pStyle w:val="Heading3"/>
      </w:pPr>
      <w:r>
        <w:t xml:space="preserve">12.2 Requirements for the Asset Manager / CMDB</w:t>
      </w:r>
    </w:p>
    <w:p>
      <w:pPr>
        <w:pStyle w:val="FirstParagraph"/>
      </w:pPr>
      <w:r>
        <w:t xml:space="preserve">The following requirements must be satisfied by whichever platform SSA selects. Requirements are grouped by compliance driver.</w:t>
      </w:r>
      <w:r>
        <w:t xml:space="preserve"> </w:t>
      </w:r>
      <w:r>
        <w:rPr>
          <w:b/>
          <w:bCs/>
        </w:rPr>
        <w:t xml:space="preserve">All requirements must be satisfied regardless of product selection.</w:t>
      </w:r>
    </w:p>
    <w:p>
      <w:pPr>
        <w:pStyle w:val="TableCaption"/>
      </w:pPr>
      <w:r>
        <w:t xml:space="preserve">Asset Manager / CMDB Requirements</w:t>
      </w:r>
    </w:p>
    <w:tbl>
      <w:tblPr>
        <w:tblStyle w:val="Table"/>
        <w:tblW w:type="pct" w:w="5000"/>
        <w:tblLayout w:type="fixed"/>
        <w:tblLook w:firstRow="1" w:lastRow="0" w:firstColumn="0" w:lastColumn="0" w:noHBand="0" w:noVBand="0" w:val="0020"/>
        <w:tblCaption w:val="Asset Manager / CMDB Requirements"/>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Control</w:t>
            </w:r>
          </w:p>
        </w:tc>
        <w:tc>
          <w:tcPr/>
          <w:p>
            <w:pPr>
              <w:pStyle w:val="Compact"/>
            </w:pPr>
            <w:r>
              <w:t xml:space="preserve">Priority</w:t>
            </w:r>
          </w:p>
        </w:tc>
      </w:tr>
      <w:tr>
        <w:tc>
          <w:tcPr/>
          <w:p>
            <w:pPr>
              <w:pStyle w:val="Compact"/>
            </w:pPr>
            <w:r>
              <w:rPr>
                <w:b/>
                <w:bCs/>
              </w:rPr>
              <w:t xml:space="preserve">R-01</w:t>
            </w:r>
          </w:p>
        </w:tc>
        <w:tc>
          <w:tcPr/>
          <w:p>
            <w:pPr>
              <w:pStyle w:val="Compact"/>
            </w:pPr>
            <w:r>
              <w:rPr>
                <w:b/>
                <w:bCs/>
              </w:rPr>
              <w:t xml:space="preserve">Cross-platform automated discovery</w:t>
            </w:r>
            <w:r>
              <w:t xml:space="preserve"> </w:t>
            </w:r>
            <w:r>
              <w:t xml:space="preserve">— must ingest asset records from Intune, Azure Arc, AWS Systems Manager, OCI Management Agent, VMware vCenter, InfoBlox IPAM, and network device management platforms without manual data entry</w:t>
            </w:r>
          </w:p>
        </w:tc>
        <w:tc>
          <w:tcPr/>
          <w:p>
            <w:pPr>
              <w:pStyle w:val="Compact"/>
            </w:pPr>
            <w:r>
              <w:t xml:space="preserve">CM-8</w:t>
            </w:r>
          </w:p>
        </w:tc>
        <w:tc>
          <w:tcPr/>
          <w:p>
            <w:pPr>
              <w:pStyle w:val="Compact"/>
            </w:pPr>
            <w:r>
              <w:t xml:space="preserve">Must</w:t>
            </w:r>
          </w:p>
        </w:tc>
      </w:tr>
      <w:tr>
        <w:tc>
          <w:tcPr/>
          <w:p>
            <w:pPr>
              <w:pStyle w:val="Compact"/>
            </w:pPr>
            <w:r>
              <w:rPr>
                <w:b/>
                <w:bCs/>
              </w:rPr>
              <w:t xml:space="preserve">R-02</w:t>
            </w:r>
          </w:p>
        </w:tc>
        <w:tc>
          <w:tcPr/>
          <w:p>
            <w:pPr>
              <w:pStyle w:val="Compact"/>
            </w:pPr>
            <w:r>
              <w:rPr>
                <w:b/>
                <w:bCs/>
              </w:rPr>
              <w:t xml:space="preserve">IP/IPAM correlation</w:t>
            </w:r>
            <w:r>
              <w:t xml:space="preserve"> </w:t>
            </w:r>
            <w:r>
              <w:t xml:space="preserve">— every asset record must link to an InfoBlox IPAM record; the IP address, DNS FQDN, and DHCP lease state from InfoBlox are the authoritative network-layer identity for each asset</w:t>
            </w:r>
          </w:p>
        </w:tc>
        <w:tc>
          <w:tcPr/>
          <w:p>
            <w:pPr>
              <w:pStyle w:val="Compact"/>
            </w:pPr>
            <w:r>
              <w:t xml:space="preserve">CM-8, SC-22</w:t>
            </w:r>
          </w:p>
        </w:tc>
        <w:tc>
          <w:tcPr/>
          <w:p>
            <w:pPr>
              <w:pStyle w:val="Compact"/>
            </w:pPr>
            <w:r>
              <w:t xml:space="preserve">Must</w:t>
            </w:r>
          </w:p>
        </w:tc>
      </w:tr>
      <w:tr>
        <w:tc>
          <w:tcPr/>
          <w:p>
            <w:pPr>
              <w:pStyle w:val="Compact"/>
            </w:pPr>
            <w:r>
              <w:rPr>
                <w:b/>
                <w:bCs/>
              </w:rPr>
              <w:t xml:space="preserve">R-03</w:t>
            </w:r>
          </w:p>
        </w:tc>
        <w:tc>
          <w:tcPr/>
          <w:p>
            <w:pPr>
              <w:pStyle w:val="Compact"/>
            </w:pPr>
            <w:r>
              <w:rPr>
                <w:b/>
                <w:bCs/>
              </w:rPr>
              <w:t xml:space="preserve">Machine certificate binding</w:t>
            </w:r>
            <w:r>
              <w:t xml:space="preserve"> </w:t>
            </w:r>
            <w:r>
              <w:t xml:space="preserve">— asset records must carry the machine certificate thumbprint and expiry for managed devices, populated from Intune SCEP enrollment (endpoint devices) and from InfoBlox Certificate Tracker (workloads)</w:t>
            </w:r>
          </w:p>
        </w:tc>
        <w:tc>
          <w:tcPr/>
          <w:p>
            <w:pPr>
              <w:pStyle w:val="Compact"/>
            </w:pPr>
            <w:r>
              <w:t xml:space="preserve">IA-5, SC-12, SC-17</w:t>
            </w:r>
          </w:p>
        </w:tc>
        <w:tc>
          <w:tcPr/>
          <w:p>
            <w:pPr>
              <w:pStyle w:val="Compact"/>
            </w:pPr>
            <w:r>
              <w:t xml:space="preserve">Must</w:t>
            </w:r>
          </w:p>
        </w:tc>
      </w:tr>
      <w:tr>
        <w:tc>
          <w:tcPr/>
          <w:p>
            <w:pPr>
              <w:pStyle w:val="Compact"/>
            </w:pPr>
            <w:r>
              <w:rPr>
                <w:b/>
                <w:bCs/>
              </w:rPr>
              <w:t xml:space="preserve">R-04</w:t>
            </w:r>
          </w:p>
        </w:tc>
        <w:tc>
          <w:tcPr/>
          <w:p>
            <w:pPr>
              <w:pStyle w:val="Compact"/>
            </w:pPr>
            <w:r>
              <w:rPr>
                <w:b/>
                <w:bCs/>
              </w:rPr>
              <w:t xml:space="preserve">FedRAMP boundary classification</w:t>
            </w:r>
            <w:r>
              <w:t xml:space="preserve"> </w:t>
            </w:r>
            <w:r>
              <w:t xml:space="preserve">— each asset record must carry environment tag (AWS GovCloud, Azure Government, OCI, on-prem VMware) and FedRAMP system boundary membership; assets in-boundary vs. out-of-boundary must be queryable</w:t>
            </w:r>
          </w:p>
        </w:tc>
        <w:tc>
          <w:tcPr/>
          <w:p>
            <w:pPr>
              <w:pStyle w:val="Compact"/>
            </w:pPr>
            <w:r>
              <w:t xml:space="preserve">CM-8, CA-3</w:t>
            </w:r>
          </w:p>
        </w:tc>
        <w:tc>
          <w:tcPr/>
          <w:p>
            <w:pPr>
              <w:pStyle w:val="Compact"/>
            </w:pPr>
            <w:r>
              <w:t xml:space="preserve">Must</w:t>
            </w:r>
          </w:p>
        </w:tc>
      </w:tr>
      <w:tr>
        <w:tc>
          <w:tcPr/>
          <w:p>
            <w:pPr>
              <w:pStyle w:val="Compact"/>
            </w:pPr>
            <w:r>
              <w:rPr>
                <w:b/>
                <w:bCs/>
              </w:rPr>
              <w:t xml:space="preserve">R-05</w:t>
            </w:r>
          </w:p>
        </w:tc>
        <w:tc>
          <w:tcPr/>
          <w:p>
            <w:pPr>
              <w:pStyle w:val="Compact"/>
            </w:pPr>
            <w:r>
              <w:rPr>
                <w:b/>
                <w:bCs/>
              </w:rPr>
              <w:t xml:space="preserve">Component owner assignment</w:t>
            </w:r>
            <w:r>
              <w:t xml:space="preserve"> </w:t>
            </w:r>
            <w:r>
              <w:t xml:space="preserve">— each asset must be assignable to a CIO Component owner; Component owners have read/write access scoped to their own assets and read-only access to nothing beyond their scope</w:t>
            </w:r>
          </w:p>
        </w:tc>
        <w:tc>
          <w:tcPr/>
          <w:p>
            <w:pPr>
              <w:pStyle w:val="Compact"/>
            </w:pPr>
            <w:r>
              <w:t xml:space="preserve">CM-8, AC-3, AC-6</w:t>
            </w:r>
          </w:p>
        </w:tc>
        <w:tc>
          <w:tcPr/>
          <w:p>
            <w:pPr>
              <w:pStyle w:val="Compact"/>
            </w:pPr>
            <w:r>
              <w:t xml:space="preserve">Must</w:t>
            </w:r>
          </w:p>
        </w:tc>
      </w:tr>
      <w:tr>
        <w:tc>
          <w:tcPr/>
          <w:p>
            <w:pPr>
              <w:pStyle w:val="Compact"/>
            </w:pPr>
            <w:r>
              <w:rPr>
                <w:b/>
                <w:bCs/>
              </w:rPr>
              <w:t xml:space="preserve">R-06</w:t>
            </w:r>
          </w:p>
        </w:tc>
        <w:tc>
          <w:tcPr/>
          <w:p>
            <w:pPr>
              <w:pStyle w:val="Compact"/>
            </w:pPr>
            <w:r>
              <w:rPr>
                <w:b/>
                <w:bCs/>
              </w:rPr>
              <w:t xml:space="preserve">Audit trail for asset record changes</w:t>
            </w:r>
            <w:r>
              <w:t xml:space="preserve"> </w:t>
            </w:r>
            <w:r>
              <w:t xml:space="preserve">— every discovery-driven or manual change to an asset record must produce a log entry with timestamp, change source, before/after state, and actor identity; logs must feed the SIEM</w:t>
            </w:r>
          </w:p>
        </w:tc>
        <w:tc>
          <w:tcPr/>
          <w:p>
            <w:pPr>
              <w:pStyle w:val="Compact"/>
            </w:pPr>
            <w:r>
              <w:t xml:space="preserve">AU-3, AU-12, CM-8(1)</w:t>
            </w:r>
          </w:p>
        </w:tc>
        <w:tc>
          <w:tcPr/>
          <w:p>
            <w:pPr>
              <w:pStyle w:val="Compact"/>
            </w:pPr>
            <w:r>
              <w:t xml:space="preserve">Must</w:t>
            </w:r>
          </w:p>
        </w:tc>
      </w:tr>
      <w:tr>
        <w:tc>
          <w:tcPr/>
          <w:p>
            <w:pPr>
              <w:pStyle w:val="Compact"/>
            </w:pPr>
            <w:r>
              <w:rPr>
                <w:b/>
                <w:bCs/>
              </w:rPr>
              <w:t xml:space="preserve">R-07</w:t>
            </w:r>
          </w:p>
        </w:tc>
        <w:tc>
          <w:tcPr/>
          <w:p>
            <w:pPr>
              <w:pStyle w:val="Compact"/>
            </w:pPr>
            <w:r>
              <w:rPr>
                <w:b/>
                <w:bCs/>
              </w:rPr>
              <w:t xml:space="preserve">Network device coverage</w:t>
            </w:r>
            <w:r>
              <w:t xml:space="preserve"> </w:t>
            </w:r>
            <w:r>
              <w:t xml:space="preserve">— must discover and maintain records for switches, routers, firewalls, load balancers, and wireless access points via SNMP, NetFlow, REST, or CDP/LLDP</w:t>
            </w:r>
          </w:p>
        </w:tc>
        <w:tc>
          <w:tcPr/>
          <w:p>
            <w:pPr>
              <w:pStyle w:val="Compact"/>
            </w:pPr>
            <w:r>
              <w:t xml:space="preserve">CM-8</w:t>
            </w:r>
          </w:p>
        </w:tc>
        <w:tc>
          <w:tcPr/>
          <w:p>
            <w:pPr>
              <w:pStyle w:val="Compact"/>
            </w:pPr>
            <w:r>
              <w:t xml:space="preserve">Must</w:t>
            </w:r>
          </w:p>
        </w:tc>
      </w:tr>
      <w:tr>
        <w:tc>
          <w:tcPr/>
          <w:p>
            <w:pPr>
              <w:pStyle w:val="Compact"/>
            </w:pPr>
            <w:r>
              <w:rPr>
                <w:b/>
                <w:bCs/>
              </w:rPr>
              <w:t xml:space="preserve">R-08</w:t>
            </w:r>
          </w:p>
        </w:tc>
        <w:tc>
          <w:tcPr/>
          <w:p>
            <w:pPr>
              <w:pStyle w:val="Compact"/>
            </w:pPr>
            <w:r>
              <w:rPr>
                <w:b/>
                <w:bCs/>
              </w:rPr>
              <w:t xml:space="preserve">Unmanaged / IoT / OT device visibility</w:t>
            </w:r>
            <w:r>
              <w:t xml:space="preserve"> </w:t>
            </w:r>
            <w:r>
              <w:t xml:space="preserve">— devices identified by MAC address and DHCP fingerprint in InfoBlox that have no MDM enrollment must appear in the inventory as</w:t>
            </w:r>
            <w:r>
              <w:t xml:space="preserve"> </w:t>
            </w:r>
            <w:r>
              <w:t xml:space="preserve">“unmanaged — device class: [fingerprint]”</w:t>
            </w:r>
            <w:r>
              <w:t xml:space="preserve">; these are CM-8 scope items even if they cannot be fully managed</w:t>
            </w:r>
          </w:p>
        </w:tc>
        <w:tc>
          <w:tcPr/>
          <w:p>
            <w:pPr>
              <w:pStyle w:val="Compact"/>
            </w:pPr>
            <w:r>
              <w:t xml:space="preserve">CM-8, IA-3</w:t>
            </w:r>
          </w:p>
        </w:tc>
        <w:tc>
          <w:tcPr/>
          <w:p>
            <w:pPr>
              <w:pStyle w:val="Compact"/>
            </w:pPr>
            <w:r>
              <w:t xml:space="preserve">Must</w:t>
            </w:r>
          </w:p>
        </w:tc>
      </w:tr>
      <w:tr>
        <w:tc>
          <w:tcPr/>
          <w:p>
            <w:pPr>
              <w:pStyle w:val="Compact"/>
            </w:pPr>
            <w:r>
              <w:rPr>
                <w:b/>
                <w:bCs/>
              </w:rPr>
              <w:t xml:space="preserve">R-09</w:t>
            </w:r>
          </w:p>
        </w:tc>
        <w:tc>
          <w:tcPr/>
          <w:p>
            <w:pPr>
              <w:pStyle w:val="Compact"/>
            </w:pPr>
            <w:r>
              <w:rPr>
                <w:b/>
                <w:bCs/>
              </w:rPr>
              <w:t xml:space="preserve">Software inventory per managed asset</w:t>
            </w:r>
            <w:r>
              <w:t xml:space="preserve"> </w:t>
            </w:r>
            <w:r>
              <w:t xml:space="preserve">— installed software, version, and patch state linked to the asset record for all Intune-managed and Arc-enrolled assets</w:t>
            </w:r>
          </w:p>
        </w:tc>
        <w:tc>
          <w:tcPr/>
          <w:p>
            <w:pPr>
              <w:pStyle w:val="Compact"/>
            </w:pPr>
            <w:r>
              <w:t xml:space="preserve">CM-8(1)</w:t>
            </w:r>
          </w:p>
        </w:tc>
        <w:tc>
          <w:tcPr/>
          <w:p>
            <w:pPr>
              <w:pStyle w:val="Compact"/>
            </w:pPr>
            <w:r>
              <w:t xml:space="preserve">Should</w:t>
            </w:r>
          </w:p>
        </w:tc>
      </w:tr>
      <w:tr>
        <w:tc>
          <w:tcPr/>
          <w:p>
            <w:pPr>
              <w:pStyle w:val="Compact"/>
            </w:pPr>
            <w:r>
              <w:rPr>
                <w:b/>
                <w:bCs/>
              </w:rPr>
              <w:t xml:space="preserve">R-10</w:t>
            </w:r>
          </w:p>
        </w:tc>
        <w:tc>
          <w:tcPr/>
          <w:p>
            <w:pPr>
              <w:pStyle w:val="Compact"/>
            </w:pPr>
            <w:r>
              <w:rPr>
                <w:b/>
                <w:bCs/>
              </w:rPr>
              <w:t xml:space="preserve">Deduplication across sources</w:t>
            </w:r>
            <w:r>
              <w:t xml:space="preserve"> </w:t>
            </w:r>
            <w:r>
              <w:t xml:space="preserve">— when Intune, Arc, AWS SSM, and InfoBlox all report the same physical or virtual asset, the platform must produce a single normalized canonical record, not four separate entries</w:t>
            </w:r>
          </w:p>
        </w:tc>
        <w:tc>
          <w:tcPr/>
          <w:p>
            <w:pPr>
              <w:pStyle w:val="Compact"/>
            </w:pPr>
            <w:r>
              <w:t xml:space="preserve">CM-8</w:t>
            </w:r>
          </w:p>
        </w:tc>
        <w:tc>
          <w:tcPr/>
          <w:p>
            <w:pPr>
              <w:pStyle w:val="Compact"/>
            </w:pPr>
            <w:r>
              <w:t xml:space="preserve">Must</w:t>
            </w:r>
          </w:p>
        </w:tc>
      </w:tr>
      <w:tr>
        <w:tc>
          <w:tcPr/>
          <w:p>
            <w:pPr>
              <w:pStyle w:val="Compact"/>
            </w:pPr>
            <w:r>
              <w:rPr>
                <w:b/>
                <w:bCs/>
              </w:rPr>
              <w:t xml:space="preserve">R-11</w:t>
            </w:r>
          </w:p>
        </w:tc>
        <w:tc>
          <w:tcPr/>
          <w:p>
            <w:pPr>
              <w:pStyle w:val="Compact"/>
            </w:pPr>
            <w:r>
              <w:rPr>
                <w:b/>
                <w:bCs/>
              </w:rPr>
              <w:t xml:space="preserve">FedRAMP Moderate or High authorization</w:t>
            </w:r>
            <w:r>
              <w:t xml:space="preserve"> </w:t>
            </w:r>
            <w:r>
              <w:t xml:space="preserve">— the platform must carry its own FedRAMP ATO at Moderate or High impact, or be deployed within SSA’s own FedRAMP boundary with appropriate documentation</w:t>
            </w:r>
          </w:p>
        </w:tc>
        <w:tc>
          <w:tcPr/>
          <w:p>
            <w:pPr>
              <w:pStyle w:val="Compact"/>
            </w:pPr>
            <w:r>
              <w:t xml:space="preserve">FedRAMP</w:t>
            </w:r>
          </w:p>
        </w:tc>
        <w:tc>
          <w:tcPr/>
          <w:p>
            <w:pPr>
              <w:pStyle w:val="Compact"/>
            </w:pPr>
            <w:r>
              <w:t xml:space="preserve">Must</w:t>
            </w:r>
          </w:p>
        </w:tc>
      </w:tr>
      <w:tr>
        <w:tc>
          <w:tcPr/>
          <w:p>
            <w:pPr>
              <w:pStyle w:val="Compact"/>
            </w:pPr>
            <w:r>
              <w:rPr>
                <w:b/>
                <w:bCs/>
              </w:rPr>
              <w:t xml:space="preserve">R-12</w:t>
            </w:r>
          </w:p>
        </w:tc>
        <w:tc>
          <w:tcPr/>
          <w:p>
            <w:pPr>
              <w:pStyle w:val="Compact"/>
            </w:pPr>
            <w:r>
              <w:rPr>
                <w:b/>
                <w:bCs/>
              </w:rPr>
              <w:t xml:space="preserve">SIEM integration</w:t>
            </w:r>
            <w:r>
              <w:t xml:space="preserve"> </w:t>
            </w:r>
            <w:r>
              <w:t xml:space="preserve">— must export asset inventory and change events to the SIEM (Book 13) for enrichment of security alerts with asset context</w:t>
            </w:r>
          </w:p>
        </w:tc>
        <w:tc>
          <w:tcPr/>
          <w:p>
            <w:pPr>
              <w:pStyle w:val="Compact"/>
            </w:pPr>
            <w:r>
              <w:t xml:space="preserve">SI-4, CA-7</w:t>
            </w:r>
          </w:p>
        </w:tc>
        <w:tc>
          <w:tcPr/>
          <w:p>
            <w:pPr>
              <w:pStyle w:val="Compact"/>
            </w:pPr>
            <w:r>
              <w:t xml:space="preserve">Must</w:t>
            </w:r>
          </w:p>
        </w:tc>
      </w:tr>
      <w:tr>
        <w:tc>
          <w:tcPr/>
          <w:p>
            <w:pPr>
              <w:pStyle w:val="Compact"/>
            </w:pPr>
            <w:r>
              <w:rPr>
                <w:b/>
                <w:bCs/>
              </w:rPr>
              <w:t xml:space="preserve">R-13</w:t>
            </w:r>
          </w:p>
        </w:tc>
        <w:tc>
          <w:tcPr/>
          <w:p>
            <w:pPr>
              <w:pStyle w:val="Compact"/>
            </w:pPr>
            <w:r>
              <w:rPr>
                <w:b/>
                <w:bCs/>
              </w:rPr>
              <w:t xml:space="preserve">ConMon evidence generation</w:t>
            </w:r>
            <w:r>
              <w:t xml:space="preserve"> </w:t>
            </w:r>
            <w:r>
              <w:t xml:space="preserve">— must produce CM-8-compliant inventory exports (OSCAL format preferred) for the ConMon pipeline (Book 19)</w:t>
            </w:r>
          </w:p>
        </w:tc>
        <w:tc>
          <w:tcPr/>
          <w:p>
            <w:pPr>
              <w:pStyle w:val="Compact"/>
            </w:pPr>
            <w:r>
              <w:t xml:space="preserve">CA-7</w:t>
            </w:r>
          </w:p>
        </w:tc>
        <w:tc>
          <w:tcPr/>
          <w:p>
            <w:pPr>
              <w:pStyle w:val="Compact"/>
            </w:pPr>
            <w:r>
              <w:t xml:space="preserve">Must</w:t>
            </w:r>
          </w:p>
        </w:tc>
      </w:tr>
      <w:tr>
        <w:tc>
          <w:tcPr/>
          <w:p>
            <w:pPr>
              <w:pStyle w:val="Compact"/>
            </w:pPr>
            <w:r>
              <w:rPr>
                <w:b/>
                <w:bCs/>
              </w:rPr>
              <w:t xml:space="preserve">R-14</w:t>
            </w:r>
          </w:p>
        </w:tc>
        <w:tc>
          <w:tcPr/>
          <w:p>
            <w:pPr>
              <w:pStyle w:val="Compact"/>
            </w:pPr>
            <w:r>
              <w:rPr>
                <w:b/>
                <w:bCs/>
              </w:rPr>
              <w:t xml:space="preserve">API-first</w:t>
            </w:r>
            <w:r>
              <w:t xml:space="preserve"> </w:t>
            </w:r>
            <w:r>
              <w:t xml:space="preserve">— all discovery, query, and reporting functions must be available via documented REST API for integration with the IaC pipeline and ConMon toolchain</w:t>
            </w:r>
          </w:p>
        </w:tc>
        <w:tc>
          <w:tcPr/>
          <w:p>
            <w:pPr>
              <w:pStyle w:val="Compact"/>
            </w:pPr>
            <w:r>
              <w:t xml:space="preserve">CM-8</w:t>
            </w:r>
          </w:p>
        </w:tc>
        <w:tc>
          <w:tcPr/>
          <w:p>
            <w:pPr>
              <w:pStyle w:val="Compact"/>
            </w:pPr>
            <w:r>
              <w:t xml:space="preserve">Should</w:t>
            </w:r>
          </w:p>
        </w:tc>
      </w:tr>
      <w:tr>
        <w:tc>
          <w:tcPr/>
          <w:p>
            <w:pPr>
              <w:pStyle w:val="Compact"/>
            </w:pPr>
            <w:r>
              <w:rPr>
                <w:b/>
                <w:bCs/>
              </w:rPr>
              <w:t xml:space="preserve">R-15</w:t>
            </w:r>
          </w:p>
        </w:tc>
        <w:tc>
          <w:tcPr/>
          <w:p>
            <w:pPr>
              <w:pStyle w:val="Compact"/>
            </w:pPr>
            <w:r>
              <w:rPr>
                <w:b/>
                <w:bCs/>
              </w:rPr>
              <w:t xml:space="preserve">Lifecycle tracking</w:t>
            </w:r>
            <w:r>
              <w:t xml:space="preserve"> </w:t>
            </w:r>
            <w:r>
              <w:t xml:space="preserve">— asset records must carry lifecycle state (provisioning / active / decommissioning / retired) and must support automated decommission notification from InfoBlox (DHCP lease release triggers review)</w:t>
            </w:r>
          </w:p>
        </w:tc>
        <w:tc>
          <w:tcPr/>
          <w:p>
            <w:pPr>
              <w:pStyle w:val="Compact"/>
            </w:pPr>
            <w:r>
              <w:t xml:space="preserve">CM-8(1)</w:t>
            </w:r>
          </w:p>
        </w:tc>
        <w:tc>
          <w:tcPr/>
          <w:p>
            <w:pPr>
              <w:pStyle w:val="Compact"/>
            </w:pPr>
            <w:r>
              <w:t xml:space="preserve">Should</w:t>
            </w:r>
          </w:p>
        </w:tc>
      </w:tr>
    </w:tbl>
    <w:p>
      <w:r>
        <w:pict>
          <v:rect style="width:0;height:1.5pt" o:hralign="center" o:hrstd="t" o:hr="t"/>
        </w:pict>
      </w:r>
    </w:p>
    <w:bookmarkEnd w:id="149"/>
    <w:bookmarkStart w:id="150" w:name="sec-cmdb-products"/>
    <w:p>
      <w:pPr>
        <w:pStyle w:val="Heading3"/>
      </w:pPr>
      <w:r>
        <w:t xml:space="preserve">12.3 FedRAMP-Authorized Product Candidates</w:t>
      </w:r>
    </w:p>
    <w:p>
      <w:pPr>
        <w:pStyle w:val="FirstParagraph"/>
      </w:pPr>
      <w:r>
        <w:t xml:space="preserve">The following platforms have federal government deployments and FedRAMP authorization status relevant to this requirement.</w:t>
      </w:r>
      <w:r>
        <w:t xml:space="preserve"> </w:t>
      </w:r>
      <w:r>
        <w:rPr>
          <w:b/>
          <w:bCs/>
        </w:rPr>
        <w:t xml:space="preserve">SSA must verify current FedRAMP Marketplace listings at time of procurement</w:t>
      </w:r>
      <w:r>
        <w:t xml:space="preserve"> </w:t>
      </w:r>
      <w:r>
        <w:t xml:space="preserve">— authorization status changes and this list reflects a point-in-time assessment. No selection is made here; this is a landscape to inform the CIO Office’s evaluation.</w:t>
      </w:r>
    </w:p>
    <w:p>
      <w:pPr>
        <w:pStyle w:val="TableCaption"/>
      </w:pPr>
      <w:r>
        <w:t xml:space="preserve">FedRAMP-Authorized Asset Manager Candidates</w:t>
      </w:r>
      <w:r>
        <w:t xml:space="preserve"> </w:t>
      </w:r>
      <w:r>
        <w:rPr>
          <w:i/>
          <w:iCs/>
        </w:rPr>
        <w:t xml:space="preserve">(verify FedRAMP Marketplace at time of procurement — status changes)</w:t>
      </w:r>
    </w:p>
    <w:tbl>
      <w:tblPr>
        <w:tblStyle w:val="Table"/>
        <w:tblW w:type="pct" w:w="5000"/>
        <w:tblLayout w:type="fixed"/>
        <w:tblLook w:firstRow="1" w:lastRow="0" w:firstColumn="0" w:lastColumn="0" w:noHBand="0" w:noVBand="0" w:val="0020"/>
        <w:tblCaption w:val="FedRAMP-Authorized Asset Manager Candidates (verify FedRAMP Marketplace at time of procurement — status changes)"/>
      </w:tblPr>
      <w:tblGrid>
        <w:gridCol w:w="1584"/>
        <w:gridCol w:w="1584"/>
        <w:gridCol w:w="1584"/>
        <w:gridCol w:w="1584"/>
        <w:gridCol w:w="1584"/>
      </w:tblGrid>
      <w:tr>
        <w:trPr>
          <w:tblHeader w:val="on"/>
        </w:trPr>
        <w:tc>
          <w:tcPr/>
          <w:p>
            <w:pPr>
              <w:pStyle w:val="Compact"/>
            </w:pPr>
            <w:r>
              <w:t xml:space="preserve">Platform</w:t>
            </w:r>
          </w:p>
        </w:tc>
        <w:tc>
          <w:tcPr/>
          <w:p>
            <w:pPr>
              <w:pStyle w:val="Compact"/>
            </w:pPr>
            <w:r>
              <w:t xml:space="preserve">FedRAMP Status</w:t>
            </w:r>
          </w:p>
        </w:tc>
        <w:tc>
          <w:tcPr/>
          <w:p>
            <w:pPr>
              <w:pStyle w:val="Compact"/>
            </w:pPr>
            <w:r>
              <w:t xml:space="preserve">Primary Strength</w:t>
            </w:r>
          </w:p>
        </w:tc>
        <w:tc>
          <w:tcPr/>
          <w:p>
            <w:pPr>
              <w:pStyle w:val="Compact"/>
            </w:pPr>
            <w:r>
              <w:t xml:space="preserve">Key Gap for SSA</w:t>
            </w:r>
          </w:p>
        </w:tc>
        <w:tc>
          <w:tcPr/>
          <w:p>
            <w:pPr>
              <w:pStyle w:val="Compact"/>
            </w:pPr>
            <w:r>
              <w:t xml:space="preserve">Requirements Met</w:t>
            </w:r>
          </w:p>
        </w:tc>
      </w:tr>
      <w:tr>
        <w:tc>
          <w:tcPr/>
          <w:p>
            <w:pPr>
              <w:pStyle w:val="Compact"/>
            </w:pPr>
            <w:r>
              <w:rPr>
                <w:b/>
                <w:bCs/>
              </w:rPr>
              <w:t xml:space="preserve">ServiceNow Now Platform</w:t>
            </w:r>
            <w:r>
              <w:t xml:space="preserve"> </w:t>
            </w:r>
            <w:r>
              <w:t xml:space="preserve">(ITOM + CMDB)</w:t>
            </w:r>
          </w:p>
        </w:tc>
        <w:tc>
          <w:tcPr/>
          <w:p>
            <w:pPr>
              <w:pStyle w:val="Compact"/>
            </w:pPr>
            <w:r>
              <w:t xml:space="preserve">FedRAMP Moderate (Government Community Cloud, JAB P-ATO)</w:t>
            </w:r>
          </w:p>
        </w:tc>
        <w:tc>
          <w:tcPr/>
          <w:p>
            <w:pPr>
              <w:pStyle w:val="Compact"/>
            </w:pPr>
            <w:r>
              <w:t xml:space="preserve">Broadest CMDB capability; native Discovery across cloud APIs, VMware, network, and MDM; widely deployed across federal civilian agencies; full lifecycle, ownership, and relationship tracking</w:t>
            </w:r>
          </w:p>
        </w:tc>
        <w:tc>
          <w:tcPr/>
          <w:p>
            <w:pPr>
              <w:pStyle w:val="Compact"/>
            </w:pPr>
            <w:r>
              <w:t xml:space="preserve">High cost; complexity of implementation; Discovery requires agent or network-based scanning agents in each environment</w:t>
            </w:r>
          </w:p>
        </w:tc>
        <w:tc>
          <w:tcPr/>
          <w:p>
            <w:pPr>
              <w:pStyle w:val="Compact"/>
            </w:pPr>
            <w:r>
              <w:t xml:space="preserve">R-01 through R-15 (all, with proper configuration)</w:t>
            </w:r>
          </w:p>
        </w:tc>
      </w:tr>
      <w:tr>
        <w:tc>
          <w:tcPr/>
          <w:p>
            <w:pPr>
              <w:pStyle w:val="Compact"/>
            </w:pPr>
            <w:r>
              <w:rPr>
                <w:b/>
                <w:bCs/>
              </w:rPr>
              <w:t xml:space="preserve">Axonius Cybersecurity Asset Management</w:t>
            </w:r>
          </w:p>
        </w:tc>
        <w:tc>
          <w:tcPr/>
          <w:p>
            <w:pPr>
              <w:pStyle w:val="Compact"/>
            </w:pPr>
            <w:r>
              <w:t xml:space="preserve">FedRAMP authorization — verify current status on FedRAMP Marketplace</w:t>
            </w:r>
          </w:p>
        </w:tc>
        <w:tc>
          <w:tcPr/>
          <w:p>
            <w:pPr>
              <w:pStyle w:val="Compact"/>
            </w:pPr>
            <w:r>
              <w:t xml:space="preserve">Purpose-built for exactly this problem: correlates 800+ adapters (Intune, Arc, AWS SSM, OCI, VMware, InfoBlox, Qualys, Tenable) into a single deduplicated asset record; no agents required; fastest time-to-value for cross-platform correlation</w:t>
            </w:r>
          </w:p>
        </w:tc>
        <w:tc>
          <w:tcPr/>
          <w:p>
            <w:pPr>
              <w:pStyle w:val="Compact"/>
            </w:pPr>
            <w:r>
              <w:t xml:space="preserve">Less mature CMDB lifecycle and change management than ServiceNow; ITSM integration requires connector work</w:t>
            </w:r>
          </w:p>
        </w:tc>
        <w:tc>
          <w:tcPr/>
          <w:p>
            <w:pPr>
              <w:pStyle w:val="Compact"/>
            </w:pPr>
            <w:r>
              <w:t xml:space="preserve">R-01, R-02, R-03, R-05, R-06, R-08, R-10, R-11, R-12, R-14</w:t>
            </w:r>
          </w:p>
        </w:tc>
      </w:tr>
      <w:tr>
        <w:tc>
          <w:tcPr/>
          <w:p>
            <w:pPr>
              <w:pStyle w:val="Compact"/>
            </w:pPr>
            <w:r>
              <w:rPr>
                <w:b/>
                <w:bCs/>
              </w:rPr>
              <w:t xml:space="preserve">Qualys Global Asset Inventory (GAI) / VMDR</w:t>
            </w:r>
          </w:p>
        </w:tc>
        <w:tc>
          <w:tcPr/>
          <w:p>
            <w:pPr>
              <w:pStyle w:val="Compact"/>
            </w:pPr>
            <w:r>
              <w:t xml:space="preserve">FedRAMP Moderate (JAB P-ATO)</w:t>
            </w:r>
          </w:p>
        </w:tc>
        <w:tc>
          <w:tcPr/>
          <w:p>
            <w:pPr>
              <w:pStyle w:val="Compact"/>
            </w:pPr>
            <w:r>
              <w:t xml:space="preserve">Strong cloud connector coverage (AWS, Azure, GCP); vulnerability context tied to asset record; agentless cloud scanning</w:t>
            </w:r>
          </w:p>
        </w:tc>
        <w:tc>
          <w:tcPr/>
          <w:p>
            <w:pPr>
              <w:pStyle w:val="Compact"/>
            </w:pPr>
            <w:r>
              <w:t xml:space="preserve">Weaker normalization across MDM (Intune) and IPAM sources; primarily vulnerability-centric rather than CMDB-centric; limited certificate tracking</w:t>
            </w:r>
          </w:p>
        </w:tc>
        <w:tc>
          <w:tcPr/>
          <w:p>
            <w:pPr>
              <w:pStyle w:val="Compact"/>
            </w:pPr>
            <w:r>
              <w:t xml:space="preserve">R-01 (partial), R-04, R-06, R-08, R-09, R-11</w:t>
            </w:r>
          </w:p>
        </w:tc>
      </w:tr>
      <w:tr>
        <w:tc>
          <w:tcPr/>
          <w:p>
            <w:pPr>
              <w:pStyle w:val="Compact"/>
            </w:pPr>
            <w:r>
              <w:rPr>
                <w:b/>
                <w:bCs/>
              </w:rPr>
              <w:t xml:space="preserve">Tenable.sc (Security Center)</w:t>
            </w:r>
          </w:p>
        </w:tc>
        <w:tc>
          <w:tcPr/>
          <w:p>
            <w:pPr>
              <w:pStyle w:val="Compact"/>
            </w:pPr>
            <w:r>
              <w:t xml:space="preserve">FedRAMP Moderate (JAB P-ATO)</w:t>
            </w:r>
          </w:p>
        </w:tc>
        <w:tc>
          <w:tcPr/>
          <w:p>
            <w:pPr>
              <w:pStyle w:val="Compact"/>
            </w:pPr>
            <w:r>
              <w:t xml:space="preserve">Deep vulnerability and asset discovery; strong network device and IoT/OT coverage via passive network analysis (Nessus Network Monitor); widely deployed in federal agencies</w:t>
            </w:r>
          </w:p>
        </w:tc>
        <w:tc>
          <w:tcPr/>
          <w:p>
            <w:pPr>
              <w:pStyle w:val="Compact"/>
            </w:pPr>
            <w:r>
              <w:t xml:space="preserve">Not a CMDB — does not support organizational ownership hierarchy, lifecycle tracking, or ITSM-style asset management; certificate tracking limited</w:t>
            </w:r>
          </w:p>
        </w:tc>
        <w:tc>
          <w:tcPr/>
          <w:p>
            <w:pPr>
              <w:pStyle w:val="Compact"/>
            </w:pPr>
            <w:r>
              <w:t xml:space="preserve">R-01 (partial), R-06, R-07, R-08, R-09</w:t>
            </w:r>
          </w:p>
        </w:tc>
      </w:tr>
      <w:tr>
        <w:tc>
          <w:tcPr/>
          <w:p>
            <w:pPr>
              <w:pStyle w:val="Compact"/>
            </w:pPr>
            <w:r>
              <w:rPr>
                <w:b/>
                <w:bCs/>
              </w:rPr>
              <w:t xml:space="preserve">Microsoft Defender for Cloud</w:t>
            </w:r>
            <w:r>
              <w:t xml:space="preserve"> </w:t>
            </w:r>
            <w:r>
              <w:t xml:space="preserve">(GCC High)</w:t>
            </w:r>
          </w:p>
        </w:tc>
        <w:tc>
          <w:tcPr/>
          <w:p>
            <w:pPr>
              <w:pStyle w:val="Compact"/>
            </w:pPr>
            <w:r>
              <w:t xml:space="preserve">FedRAMP High (as part of Microsoft GCC High)</w:t>
            </w:r>
          </w:p>
        </w:tc>
        <w:tc>
          <w:tcPr/>
          <w:p>
            <w:pPr>
              <w:pStyle w:val="Compact"/>
            </w:pPr>
            <w:r>
              <w:t xml:space="preserve">Native integration with Azure Arc, Intune, Defender for Endpoint; cloud security posture management for Azure, AWS, GCP; no additional procurement for Microsoft-licensed agencies</w:t>
            </w:r>
          </w:p>
        </w:tc>
        <w:tc>
          <w:tcPr/>
          <w:p>
            <w:pPr>
              <w:pStyle w:val="Compact"/>
            </w:pPr>
            <w:r>
              <w:t xml:space="preserve">Limited coverage of OCI, VMware non-Arc, network devices; not a general-purpose CMDB; strong for Microsoft estate, weak outside it</w:t>
            </w:r>
          </w:p>
        </w:tc>
        <w:tc>
          <w:tcPr/>
          <w:p>
            <w:pPr>
              <w:pStyle w:val="Compact"/>
            </w:pPr>
            <w:r>
              <w:t xml:space="preserve">R-01 (partial — Microsoft scope), R-04, R-06, R-11</w:t>
            </w:r>
          </w:p>
        </w:tc>
      </w:tr>
      <w:tr>
        <w:tc>
          <w:tcPr/>
          <w:p>
            <w:pPr>
              <w:pStyle w:val="Compact"/>
            </w:pPr>
            <w:r>
              <w:rPr>
                <w:b/>
                <w:bCs/>
              </w:rPr>
              <w:t xml:space="preserve">AWS Config + Systems Manager Inventory</w:t>
            </w:r>
          </w:p>
        </w:tc>
        <w:tc>
          <w:tcPr/>
          <w:p>
            <w:pPr>
              <w:pStyle w:val="Compact"/>
            </w:pPr>
            <w:r>
              <w:t xml:space="preserve">FedRAMP High (AWS GovCloud)</w:t>
            </w:r>
          </w:p>
        </w:tc>
        <w:tc>
          <w:tcPr/>
          <w:p>
            <w:pPr>
              <w:pStyle w:val="Compact"/>
            </w:pPr>
            <w:r>
              <w:t xml:space="preserve">Native AWS asset inventory; configuration history; Config Rules for compliance; no additional cost beyond AWS usage</w:t>
            </w:r>
          </w:p>
        </w:tc>
        <w:tc>
          <w:tcPr/>
          <w:p>
            <w:pPr>
              <w:pStyle w:val="Compact"/>
            </w:pPr>
            <w:r>
              <w:t xml:space="preserve">AWS-only — no coverage for Azure, OCI, on-prem, or endpoint devices; cannot serve as the unified cross-environment coordinator</w:t>
            </w:r>
          </w:p>
        </w:tc>
        <w:tc>
          <w:tcPr/>
          <w:p>
            <w:pPr>
              <w:pStyle w:val="Compact"/>
            </w:pPr>
            <w:r>
              <w:t xml:space="preserve">R-01 (AWS scope only), R-04, R-06, R-14</w:t>
            </w:r>
          </w:p>
        </w:tc>
      </w:tr>
      <w:tr>
        <w:tc>
          <w:tcPr/>
          <w:p>
            <w:pPr>
              <w:pStyle w:val="Compact"/>
            </w:pPr>
            <w:r>
              <w:rPr>
                <w:b/>
                <w:bCs/>
              </w:rPr>
              <w:t xml:space="preserve">Ivanti Neurons for ITSM + Asset Management</w:t>
            </w:r>
          </w:p>
        </w:tc>
        <w:tc>
          <w:tcPr/>
          <w:p>
            <w:pPr>
              <w:pStyle w:val="Compact"/>
            </w:pPr>
            <w:r>
              <w:t xml:space="preserve">FedRAMP Moderate (verify current status on FedRAMP Marketplace)</w:t>
            </w:r>
          </w:p>
        </w:tc>
        <w:tc>
          <w:tcPr/>
          <w:p>
            <w:pPr>
              <w:pStyle w:val="Compact"/>
            </w:pPr>
            <w:r>
              <w:t xml:space="preserve">Comprehensive ITSM + CMDB + discovery; strong on endpoint asset management and patch management; federal deployments</w:t>
            </w:r>
          </w:p>
        </w:tc>
        <w:tc>
          <w:tcPr/>
          <w:p>
            <w:pPr>
              <w:pStyle w:val="Compact"/>
            </w:pPr>
            <w:r>
              <w:t xml:space="preserve">Less cloud-native than ServiceNow for multi-cloud asset correlation; verify current FedRAMP scope and boundary</w:t>
            </w:r>
          </w:p>
        </w:tc>
        <w:tc>
          <w:tcPr/>
          <w:p>
            <w:pPr>
              <w:pStyle w:val="Compact"/>
            </w:pPr>
            <w:r>
              <w:t xml:space="preserve">R-01 (partial), R-05, R-06, R-09, R-10, R-15</w:t>
            </w:r>
          </w:p>
        </w:tc>
      </w:tr>
    </w:tbl>
    <w:bookmarkEnd w:id="150"/>
    <w:bookmarkStart w:id="151" w:name="recommended-evaluation-approach"/>
    <w:p>
      <w:pPr>
        <w:pStyle w:val="Heading3"/>
      </w:pPr>
      <w:r>
        <w:t xml:space="preserve">12.4 Recommended Evaluation Approach</w:t>
      </w:r>
    </w:p>
    <w:p>
      <w:pPr>
        <w:pStyle w:val="FirstParagraph"/>
      </w:pPr>
      <w:r>
        <w:t xml:space="preserve">SSA should evaluate candidates against requirements R-01 through R-15 in a structured proof-of-concept across three specific scenarios:</w:t>
      </w:r>
    </w:p>
    <w:p>
      <w:pPr>
        <w:numPr>
          <w:ilvl w:val="0"/>
          <w:numId w:val="1016"/>
        </w:numPr>
      </w:pPr>
      <w:r>
        <w:rPr>
          <w:b/>
          <w:bCs/>
        </w:rPr>
        <w:t xml:space="preserve">Correlation test</w:t>
      </w:r>
      <w:r>
        <w:t xml:space="preserve"> </w:t>
      </w:r>
      <w:r>
        <w:t xml:space="preserve">— take a single managed Windows laptop; confirm that the candidate platform produces one deduplicated asset record that includes the Intune MDM record, the InfoBlox DHCP record, the machine certificate from Intune SCEP, and the DNS FQDN. This is R-01, R-02, R-03, and R-10 simultaneously.</w:t>
      </w:r>
    </w:p>
    <w:p>
      <w:pPr>
        <w:numPr>
          <w:ilvl w:val="0"/>
          <w:numId w:val="1016"/>
        </w:numPr>
      </w:pPr>
      <w:r>
        <w:rPr>
          <w:b/>
          <w:bCs/>
        </w:rPr>
        <w:t xml:space="preserve">Unmanaged device test</w:t>
      </w:r>
      <w:r>
        <w:t xml:space="preserve"> </w:t>
      </w:r>
      <w:r>
        <w:t xml:space="preserve">— connect an IoT device (or a device not enrolled in Intune) to a NAC-controlled port; confirm that the device appears in the inventory within one DHCP lease cycle as an unmanaged asset with InfoBlox DHCP fingerprint data. This is R-08.</w:t>
      </w:r>
    </w:p>
    <w:p>
      <w:pPr>
        <w:numPr>
          <w:ilvl w:val="0"/>
          <w:numId w:val="1016"/>
        </w:numPr>
      </w:pPr>
      <w:r>
        <w:rPr>
          <w:b/>
          <w:bCs/>
        </w:rPr>
        <w:t xml:space="preserve">Component owner scoping test</w:t>
      </w:r>
      <w:r>
        <w:t xml:space="preserve"> </w:t>
      </w:r>
      <w:r>
        <w:t xml:space="preserve">— create two CIO Component owners in the candidate platform; confirm that each owner sees only their assigned assets and cannot access the other’s records. This is R-05.</w:t>
      </w:r>
    </w:p>
    <w:p>
      <w:pPr>
        <w:pStyle w:val="FirstParagraph"/>
      </w:pPr>
      <w:r>
        <w:t xml:space="preserve">Until a platform is selected and deployed, InfoBlox IPAM serves as the</w:t>
      </w:r>
      <w:r>
        <w:t xml:space="preserve"> </w:t>
      </w:r>
      <w:r>
        <w:rPr>
          <w:b/>
          <w:bCs/>
        </w:rPr>
        <w:t xml:space="preserve">best-available addressing proxy for CM-8</w:t>
      </w:r>
      <w:r>
        <w:t xml:space="preserve"> </w:t>
      </w:r>
      <w:r>
        <w:t xml:space="preserve">— every in-scope IP address is documented, every DNS hostname is authoritative, and DHCP fingerprinting provides unmanaged device classification. This is not a full CM-8 closure; it is the network-layer foundation on which the CMDB will be built.</w:t>
      </w:r>
    </w:p>
    <w:p>
      <w:r>
        <w:pict>
          <v:rect style="width:0;height:1.5pt" o:hralign="center" o:hrstd="t" o:hr="t"/>
        </w:pict>
      </w:r>
    </w:p>
    <w:bookmarkEnd w:id="151"/>
    <w:bookmarkEnd w:id="152"/>
    <w:bookmarkStart w:id="153" w:name="sec-summary"/>
    <w:p>
      <w:pPr>
        <w:pStyle w:val="Heading2"/>
      </w:pPr>
      <w:r>
        <w:t xml:space="preserve">13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53"/>
    <w:bookmarkStart w:id="164" w:name="sec-roadmap"/>
    <w:p>
      <w:pPr>
        <w:pStyle w:val="Heading2"/>
      </w:pPr>
      <w:r>
        <w:t xml:space="preserve">14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55" name="Picture"/>
            <a:graphic>
              <a:graphicData uri="http://schemas.openxmlformats.org/drawingml/2006/picture">
                <pic:pic>
                  <pic:nvPicPr>
                    <pic:cNvPr descr="figs/lz-fig-14-roadmap.png" id="156" name="Picture"/>
                    <pic:cNvPicPr>
                      <a:picLocks noChangeArrowheads="1" noChangeAspect="1"/>
                    </pic:cNvPicPr>
                  </pic:nvPicPr>
                  <pic:blipFill>
                    <a:blip r:embed="rId154"/>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57" w:name="X6998601d02e0784d9756e9b3df61efe56f843a2"/>
    <w:p>
      <w:pPr>
        <w:pStyle w:val="Heading3"/>
      </w:pPr>
      <w:r>
        <w:t xml:space="preserve">Phase 0 — Procurement and Architecture (Month 1)</w:t>
      </w:r>
    </w:p>
    <w:p>
      <w:pPr>
        <w:pStyle w:val="Compact"/>
        <w:numPr>
          <w:ilvl w:val="0"/>
          <w:numId w:val="1017"/>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7"/>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7"/>
        </w:numPr>
      </w:pPr>
      <w:r>
        <w:t xml:space="preserve">Design Network View CIDR allocation plan: audit all existing IP ranges across on-prem, Azure VNet, AWS VPC, OCI VCN for overlaps</w:t>
      </w:r>
    </w:p>
    <w:p>
      <w:pPr>
        <w:pStyle w:val="Compact"/>
        <w:numPr>
          <w:ilvl w:val="0"/>
          <w:numId w:val="1017"/>
        </w:numPr>
      </w:pPr>
      <w:r>
        <w:t xml:space="preserve">Engage InfoBlox Professional Services for VCF 9.1 DDI integration workshop</w:t>
      </w:r>
    </w:p>
    <w:bookmarkEnd w:id="157"/>
    <w:bookmarkStart w:id="158" w:name="phase-1-on-premises-foundation-months-13"/>
    <w:p>
      <w:pPr>
        <w:pStyle w:val="Heading3"/>
      </w:pPr>
      <w:r>
        <w:t xml:space="preserve">Phase 1 — On-Premises Foundation (Months 1–3)</w:t>
      </w:r>
    </w:p>
    <w:p>
      <w:pPr>
        <w:pStyle w:val="Compact"/>
        <w:numPr>
          <w:ilvl w:val="0"/>
          <w:numId w:val="1018"/>
        </w:numPr>
      </w:pPr>
      <w:r>
        <w:t xml:space="preserve">Deploy Grid Master HA pair; import all AD DNS zones; enable DNSSEC for agency.gov</w:t>
      </w:r>
    </w:p>
    <w:p>
      <w:pPr>
        <w:pStyle w:val="Compact"/>
        <w:numPr>
          <w:ilvl w:val="0"/>
          <w:numId w:val="1018"/>
        </w:numPr>
      </w:pPr>
      <w:r>
        <w:t xml:space="preserve">Submit DS record to .gov TLD registrar (closes SC-20 gap)</w:t>
      </w:r>
    </w:p>
    <w:p>
      <w:pPr>
        <w:pStyle w:val="Compact"/>
        <w:numPr>
          <w:ilvl w:val="0"/>
          <w:numId w:val="1018"/>
        </w:numPr>
      </w:pPr>
      <w:r>
        <w:t xml:space="preserve">Migrate Windows Server DHCP scopes to InfoBlox Grid DHCP; enable DHCP fingerprinting (the device-identity feed that</w:t>
      </w:r>
      <w:r>
        <w:t xml:space="preserve"> </w:t>
      </w:r>
      <w:hyperlink r:id="rId95">
        <w:r>
          <w:rPr>
            <w:rStyle w:val="Hyperlink"/>
          </w:rPr>
          <w:t xml:space="preserve">Book 02</w:t>
        </w:r>
      </w:hyperlink>
      <w:r>
        <w:t xml:space="preserve"> </w:t>
      </w:r>
      <w:r>
        <w:t xml:space="preserve">builds the NAC device inventory on)</w:t>
      </w:r>
    </w:p>
    <w:p>
      <w:pPr>
        <w:pStyle w:val="Compact"/>
        <w:numPr>
          <w:ilvl w:val="0"/>
          <w:numId w:val="1018"/>
        </w:numPr>
      </w:pPr>
      <w:r>
        <w:t xml:space="preserve">Configure syslog forwarding from all Grid Members to SIEM (Splunk/Sentinel); verify AU-12 event receipt</w:t>
      </w:r>
    </w:p>
    <w:p>
      <w:pPr>
        <w:pStyle w:val="Compact"/>
        <w:numPr>
          <w:ilvl w:val="0"/>
          <w:numId w:val="1018"/>
        </w:numPr>
      </w:pPr>
      <w:r>
        <w:t xml:space="preserve">Deploy SCEP connector to ADCS; test automated cert enrollment from new IP host record</w:t>
      </w:r>
    </w:p>
    <w:p>
      <w:pPr>
        <w:pStyle w:val="Compact"/>
        <w:numPr>
          <w:ilvl w:val="0"/>
          <w:numId w:val="1018"/>
        </w:numPr>
      </w:pPr>
      <w:r>
        <w:t xml:space="preserve">Generate first CM-8 IP inventory export; reconcile against existing CMDB</w:t>
      </w:r>
    </w:p>
    <w:bookmarkEnd w:id="158"/>
    <w:bookmarkStart w:id="159" w:name="Xc4c0bc48ec731a428e8eb5363949c17466fc71f"/>
    <w:p>
      <w:pPr>
        <w:pStyle w:val="Heading3"/>
      </w:pPr>
      <w:r>
        <w:t xml:space="preserve">Phase 2 — VMware VCF 9.1 Integration (Months 2–4)</w:t>
      </w:r>
    </w:p>
    <w:p>
      <w:pPr>
        <w:pStyle w:val="Compact"/>
        <w:numPr>
          <w:ilvl w:val="0"/>
          <w:numId w:val="1019"/>
        </w:numPr>
      </w:pPr>
      <w:r>
        <w:t xml:space="preserve">Update VCF to 9.1; configure VCF-A to use InfoBlox WAPI as external IPAM backend</w:t>
      </w:r>
    </w:p>
    <w:p>
      <w:pPr>
        <w:pStyle w:val="Compact"/>
        <w:numPr>
          <w:ilvl w:val="0"/>
          <w:numId w:val="1019"/>
        </w:numPr>
      </w:pPr>
      <w:r>
        <w:t xml:space="preserve">Update NSX-T DHCP Server Profiles to route DNS to InfoBlox Grid Member IP</w:t>
      </w:r>
    </w:p>
    <w:p>
      <w:pPr>
        <w:pStyle w:val="Compact"/>
        <w:numPr>
          <w:ilvl w:val="0"/>
          <w:numId w:val="1019"/>
        </w:numPr>
      </w:pPr>
      <w:r>
        <w:t xml:space="preserve">Verify NSX-T VM IP assignments appear in InfoBlox On-Premises Network View within 60 seconds</w:t>
      </w:r>
    </w:p>
    <w:bookmarkEnd w:id="159"/>
    <w:bookmarkStart w:id="160" w:name="X77a697cf21d0ca41f2584ad67baf5270bd4b388"/>
    <w:p>
      <w:pPr>
        <w:pStyle w:val="Heading3"/>
      </w:pPr>
      <w:r>
        <w:t xml:space="preserve">Phase 3 — Azure Government Integration (Months 3–5)</w:t>
      </w:r>
    </w:p>
    <w:p>
      <w:pPr>
        <w:pStyle w:val="Compact"/>
        <w:numPr>
          <w:ilvl w:val="0"/>
          <w:numId w:val="1020"/>
        </w:numPr>
      </w:pPr>
      <w:r>
        <w:t xml:space="preserve">Deploy InfoBlox Grid Member as Azure VM in Hub VNet; configure Azure DNS Private Resolver to forward to Grid Member</w:t>
      </w:r>
    </w:p>
    <w:p>
      <w:pPr>
        <w:pStyle w:val="Compact"/>
        <w:numPr>
          <w:ilvl w:val="0"/>
          <w:numId w:val="1020"/>
        </w:numPr>
      </w:pPr>
      <w:r>
        <w:t xml:space="preserve">Register all Azure VNet/subnet CIDRs in InfoBlox Azure-GCC Network View; enable Azure connector</w:t>
      </w:r>
    </w:p>
    <w:p>
      <w:pPr>
        <w:pStyle w:val="Compact"/>
        <w:numPr>
          <w:ilvl w:val="0"/>
          <w:numId w:val="1020"/>
        </w:numPr>
      </w:pPr>
      <w:r>
        <w:t xml:space="preserve">Configure Azure Key Vault Certificate Manager polling in InfoBlox Certificate Tracker</w:t>
      </w:r>
    </w:p>
    <w:p>
      <w:pPr>
        <w:pStyle w:val="Compact"/>
        <w:numPr>
          <w:ilvl w:val="0"/>
          <w:numId w:val="1020"/>
        </w:numPr>
      </w:pPr>
      <w:r>
        <w:t xml:space="preserve">Configure M365 GCC endpoint API polling; test RPZ passthrough and commercial M365 RPZ block</w:t>
      </w:r>
    </w:p>
    <w:bookmarkEnd w:id="160"/>
    <w:bookmarkStart w:id="161" w:name="Xa43eec936343295a8326917a9cf352928776252"/>
    <w:p>
      <w:pPr>
        <w:pStyle w:val="Heading3"/>
      </w:pPr>
      <w:r>
        <w:t xml:space="preserve">Phase 4 — AWS GovCloud Integration (Months 5–7)</w:t>
      </w:r>
    </w:p>
    <w:p>
      <w:pPr>
        <w:pStyle w:val="Compact"/>
        <w:numPr>
          <w:ilvl w:val="0"/>
          <w:numId w:val="1021"/>
        </w:numPr>
      </w:pPr>
      <w:r>
        <w:t xml:space="preserve">Deploy InfoBlox Grid Member as EC2 instance in Transit VPC</w:t>
      </w:r>
    </w:p>
    <w:p>
      <w:pPr>
        <w:pStyle w:val="Compact"/>
        <w:numPr>
          <w:ilvl w:val="0"/>
          <w:numId w:val="1021"/>
        </w:numPr>
      </w:pPr>
      <w:r>
        <w:t xml:space="preserve">Update VPC DHCP Options Sets to use Grid Member IP as domain-name-server</w:t>
      </w:r>
    </w:p>
    <w:p>
      <w:pPr>
        <w:pStyle w:val="Compact"/>
        <w:numPr>
          <w:ilvl w:val="0"/>
          <w:numId w:val="1021"/>
        </w:numPr>
      </w:pPr>
      <w:r>
        <w:t xml:space="preserve">Enable InfoBlox AWS connector; register all VPC CIDR allocations in AWS-GovCloud Network View</w:t>
      </w:r>
    </w:p>
    <w:p>
      <w:pPr>
        <w:pStyle w:val="Compact"/>
        <w:numPr>
          <w:ilvl w:val="0"/>
          <w:numId w:val="1021"/>
        </w:numPr>
      </w:pPr>
      <w:r>
        <w:t xml:space="preserve">Configure ACM DNS validation CNAME automation; test certificate issuance for an internal ALB</w:t>
      </w:r>
    </w:p>
    <w:p>
      <w:pPr>
        <w:pStyle w:val="Compact"/>
        <w:numPr>
          <w:ilvl w:val="0"/>
          <w:numId w:val="1021"/>
        </w:numPr>
      </w:pPr>
      <w:r>
        <w:t xml:space="preserve">Integrate InfoBlox RPZ events with AWS Security Hub findings</w:t>
      </w:r>
    </w:p>
    <w:bookmarkEnd w:id="161"/>
    <w:bookmarkStart w:id="162" w:name="Xca1eadb88ebaa0b3ed62b98ccc9ae1a6edf20c4"/>
    <w:p>
      <w:pPr>
        <w:pStyle w:val="Heading3"/>
      </w:pPr>
      <w:r>
        <w:t xml:space="preserve">Phase 5 — OCI OPM HRIT Integration (Months 7–9)</w:t>
      </w:r>
    </w:p>
    <w:p>
      <w:pPr>
        <w:pStyle w:val="Compact"/>
        <w:numPr>
          <w:ilvl w:val="0"/>
          <w:numId w:val="1022"/>
        </w:numPr>
      </w:pPr>
      <w:r>
        <w:t xml:space="preserve">Import all known OPM HRIT service endpoint IPs and FQDNs as external host records</w:t>
      </w:r>
    </w:p>
    <w:p>
      <w:pPr>
        <w:pStyle w:val="Compact"/>
        <w:numPr>
          <w:ilvl w:val="0"/>
          <w:numId w:val="1022"/>
        </w:numPr>
      </w:pPr>
      <w:r>
        <w:t xml:space="preserve">Configure InfoBlox conditional forwarder for OPM HRIT FQDNs through FastConnect path</w:t>
      </w:r>
    </w:p>
    <w:p>
      <w:pPr>
        <w:pStyle w:val="Compact"/>
        <w:numPr>
          <w:ilvl w:val="0"/>
          <w:numId w:val="1022"/>
        </w:numPr>
      </w:pPr>
      <w:r>
        <w:t xml:space="preserve">Connect InfoBlox Certificate Tracker to OPM HRIT HTTPS endpoints; verify 90-day cert expiry alert fires</w:t>
      </w:r>
    </w:p>
    <w:p>
      <w:pPr>
        <w:pStyle w:val="Compact"/>
        <w:numPr>
          <w:ilvl w:val="0"/>
          <w:numId w:val="1022"/>
        </w:numPr>
      </w:pPr>
      <w:r>
        <w:t xml:space="preserve">Document OCI integration in SSP SA-9 external services table with OPM as system owner</w:t>
      </w:r>
    </w:p>
    <w:bookmarkEnd w:id="162"/>
    <w:bookmarkStart w:id="163" w:name="X6450109d4d09342385afb6f44eead155ff42378"/>
    <w:p>
      <w:pPr>
        <w:pStyle w:val="Heading3"/>
      </w:pPr>
      <w:r>
        <w:t xml:space="preserve">Phase 6 — FedRAMP Continuous Monitoring (Months 9–12)</w:t>
      </w:r>
    </w:p>
    <w:p>
      <w:pPr>
        <w:pStyle w:val="Compact"/>
        <w:numPr>
          <w:ilvl w:val="0"/>
          <w:numId w:val="1023"/>
        </w:numPr>
      </w:pPr>
      <w:r>
        <w:t xml:space="preserve">Complete InfoBlox FedRAMP ATO documentation in SSP; reference CSO FR2017257053 for DDI layer control inheritance</w:t>
      </w:r>
    </w:p>
    <w:p>
      <w:pPr>
        <w:pStyle w:val="Compact"/>
        <w:numPr>
          <w:ilvl w:val="0"/>
          <w:numId w:val="1023"/>
        </w:numPr>
      </w:pPr>
      <w:r>
        <w:t xml:space="preserve">Configure all eight FedRAMP control evidence exports as scheduled reports</w:t>
      </w:r>
    </w:p>
    <w:p>
      <w:pPr>
        <w:pStyle w:val="Compact"/>
        <w:numPr>
          <w:ilvl w:val="0"/>
          <w:numId w:val="1023"/>
        </w:numPr>
      </w:pPr>
      <w:r>
        <w:t xml:space="preserve">Implement IaC Terraform pipeline: IP allocation → DNS record → SCEP cert enrollment as single atomic pipeline</w:t>
      </w:r>
    </w:p>
    <w:p>
      <w:pPr>
        <w:pStyle w:val="Compact"/>
        <w:numPr>
          <w:ilvl w:val="0"/>
          <w:numId w:val="1023"/>
        </w:numPr>
      </w:pPr>
      <w:r>
        <w:t xml:space="preserve">Configure FedRAMP 20x KSI automation checks (DNSSEC status, RPZ coverage, cert expiry, CIDR conflict) as CI/CD pipeline tests</w:t>
      </w:r>
    </w:p>
    <w:p>
      <w:r>
        <w:pict>
          <v:rect style="width:0;height:1.5pt" o:hralign="center" o:hrstd="t" o:hr="t"/>
        </w:pict>
      </w:r>
    </w:p>
    <w:bookmarkEnd w:id="163"/>
    <w:bookmarkEnd w:id="164"/>
    <w:bookmarkStart w:id="177"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65">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66">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67">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68">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69">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70">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71">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72">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73">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74">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75">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76">
              <w:r>
                <w:rPr>
                  <w:rStyle w:val="Hyperlink"/>
                </w:rPr>
                <w:t xml:space="preserve">learn.microsoft.com/en-us/azure/azure-vmware/configure-dhcp-azure-vmware-solution</w:t>
              </w:r>
            </w:hyperlink>
          </w:p>
        </w:tc>
      </w:tr>
    </w:tbl>
    <w:p>
      <w:r>
        <w:pict>
          <v:rect style="width:0;height:1.5pt" o:hralign="center" o:hrstd="t" o:hr="t"/>
        </w:pic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75" Target="media/rId75.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134" Target="media/rId134.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32" Target="media/rId32.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123" Target="media/rId123.png" /><Relationship Type="http://schemas.openxmlformats.org/officeDocument/2006/relationships/image" Id="rId24" Target="media/rId24.png" /><Relationship Type="http://schemas.openxmlformats.org/officeDocument/2006/relationships/image" Id="rId60" Target="media/rId60.png" /><Relationship Type="http://schemas.openxmlformats.org/officeDocument/2006/relationships/image" Id="rId154" Target="media/rId154.png" /><Relationship Type="http://schemas.openxmlformats.org/officeDocument/2006/relationships/image" Id="rId131" Target="media/rId131.png" /><Relationship Type="http://schemas.openxmlformats.org/officeDocument/2006/relationships/image" Id="rId102" Target="media/rId102.svg" /><Relationship Type="http://schemas.openxmlformats.org/officeDocument/2006/relationships/image" Id="rId107" Target="media/rId107.svg" /><Relationship Type="http://schemas.openxmlformats.org/officeDocument/2006/relationships/image" Id="rId115" Target="media/rId115.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12" Target="media/rId12.png" /><Relationship Type="http://schemas.openxmlformats.org/officeDocument/2006/relationships/image" Id="rId98" Target="media/rId98.png" /><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2026-07-07T13:16:02Z</dcterms:created>
  <dcterms:modified xsi:type="dcterms:W3CDTF">2026-07-07T13:16:02Z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