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How Adapters Work — UIAO DNS-Style Resolution Pattern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 </w:t>
      </w: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sz w:val="22"/>
        </w:rPr>
        <w:t xml:space="preserve"> Authoritative </w:t>
      </w:r>
      <w:r>
        <w:rPr>
          <w:rFonts w:ascii="Calibri" w:hAnsi="Calibri"/>
          <w:b/>
          <w:i w:val="0"/>
          <w:sz w:val="22"/>
        </w:rPr>
        <w:t>Repository:</w:t>
      </w:r>
      <w:r>
        <w:rPr>
          <w:rFonts w:ascii="Calibri" w:hAnsi="Calibri"/>
          <w:sz w:val="22"/>
        </w:rPr>
        <w:t xml:space="preserve"> `uiao-core` </w:t>
      </w: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CUI/FOUO </w:t>
      </w:r>
      <w:r>
        <w:rPr>
          <w:rFonts w:ascii="Calibri" w:hAnsi="Calibri"/>
          <w:b/>
          <w:i w:val="0"/>
          <w:sz w:val="22"/>
        </w:rPr>
        <w:t>Last Updated:</w:t>
      </w:r>
      <w:r>
        <w:rPr>
          <w:rFonts w:ascii="Calibri" w:hAnsi="Calibri"/>
          <w:sz w:val="22"/>
        </w:rPr>
        <w:t xml:space="preserve"> April 2026</w:t>
      </w:r>
    </w:p>
    <w:p>
      <w:pPr>
        <w:pStyle w:val="Heading2"/>
      </w:pPr>
      <w:r>
        <w:rPr>
          <w:color w:val="1B3A5C"/>
        </w:rPr>
        <w:t>The DNS Analogy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adapter pattern maps directly to how DNS resolution works: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DNS Concept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UIAO Adapter Equivalent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Domain 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YAML canon (Single Source of Truth)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one authoritative address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DNS resolver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Adapter (Entra, ServiceNow, Palo Alto, etc.)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"Tells you how to get there"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 address returned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Vendor-overlay + claim alignment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Pointer + mapping + evidence hash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Recursive lookup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Collector → normalize → overlay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Fast, repeatable, no data duplication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TTL / cache invalidation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Continuous validation against canon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 data storage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Adapters never own or duplicate data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Keeps SSOT pure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The adapter's only job is to say: &gt; "Hey engine — here's the authoritative vendor record for this identity/control, here's how it maps to our UIAO schema, and here's the evidence hash."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Then the </w:t>
      </w:r>
      <w:r>
        <w:rPr>
          <w:rFonts w:ascii="Calibri" w:hAnsi="Calibri"/>
          <w:b/>
          <w:i w:val="0"/>
          <w:sz w:val="22"/>
        </w:rPr>
        <w:t>generators/</w:t>
      </w:r>
      <w:r>
        <w:rPr>
          <w:rFonts w:ascii="Calibri" w:hAnsi="Calibri"/>
          <w:sz w:val="22"/>
        </w:rPr>
        <w:t xml:space="preserve"> layer (the real workhorse) does the heavy lifting: turning the aligned claims into full OSCAL JSON, SSPs, POA&amp;Ms, SBOMs, drift reports, and compliance artifacts.</w:t>
      </w:r>
    </w:p>
    <w:p>
      <w:pPr>
        <w:pStyle w:val="Heading2"/>
      </w:pPr>
      <w:r>
        <w:rPr>
          <w:color w:val="1B3A5C"/>
        </w:rPr>
        <w:t>What an Adapter Actually Does (Step-by-Step)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Every adapter in the Big 7 framework follows the same four-step resolution pattern:</w:t>
      </w:r>
    </w:p>
    <w:p>
      <w:pPr>
        <w:pStyle w:val="Heading3"/>
      </w:pPr>
      <w:r>
        <w:rPr>
          <w:color w:val="1B3A5C"/>
        </w:rPr>
        <w:t>Step 1 — Connect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collector</w:t>
      </w:r>
      <w:r>
        <w:rPr>
          <w:rFonts w:ascii="Calibri" w:hAnsi="Calibri"/>
          <w:sz w:val="22"/>
        </w:rPr>
        <w:t xml:space="preserve"> establishes a secure connection to the vendor system using OAuth client credentials, API keys, or mTLS. It returns a `ConnectionProvenance` record capturing the identity, auth method, endpoint, and TLS version.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``` Collector → Vendor API (Graph, ServiceNow REST, Panorama, etc.)          ← ConnectionProvenance (identity, endpoint, tls, timestamp) ```</w:t>
      </w:r>
    </w:p>
    <w:p>
      <w:pPr>
        <w:pStyle w:val="Heading3"/>
      </w:pPr>
      <w:r>
        <w:rPr>
          <w:color w:val="1B3A5C"/>
        </w:rPr>
        <w:t>Step 2 — Collect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collector queries the vendor API for raw records relevant to the target KSI or control family. It does not filter or transform — it returns the raw payload.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``` Collector.collect(ksi_id="AC-2")          ← EvidencePackage (raw_data, source, timestamp, hash) ```</w:t>
      </w:r>
    </w:p>
    <w:p>
      <w:pPr>
        <w:pStyle w:val="Heading3"/>
      </w:pPr>
      <w:r>
        <w:rPr>
          <w:color w:val="1B3A5C"/>
        </w:rPr>
        <w:t>Step 3 — Normalize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adapter</w:t>
      </w:r>
      <w:r>
        <w:rPr>
          <w:rFonts w:ascii="Calibri" w:hAnsi="Calibri"/>
          <w:sz w:val="22"/>
        </w:rPr>
        <w:t xml:space="preserve"> transforms raw vendor records into canonical UIAO `ClaimObject` entries. Each claim binds: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 </w:t>
      </w:r>
      <w:r>
        <w:rPr>
          <w:rFonts w:ascii="Calibri" w:hAnsi="Calibri"/>
          <w:b/>
          <w:i w:val="0"/>
          <w:sz w:val="22"/>
        </w:rPr>
        <w:t>Identity</w:t>
      </w:r>
      <w:r>
        <w:rPr>
          <w:rFonts w:ascii="Calibri" w:hAnsi="Calibri"/>
          <w:sz w:val="22"/>
        </w:rPr>
        <w:t xml:space="preserve"> — the root namespace (`entra:user:abc123`, `snow:incident:INC0012345`) - </w:t>
      </w:r>
      <w:r>
        <w:rPr>
          <w:rFonts w:ascii="Calibri" w:hAnsi="Calibri"/>
          <w:b/>
          <w:i w:val="0"/>
          <w:sz w:val="22"/>
        </w:rPr>
        <w:t>Control ID</w:t>
      </w:r>
      <w:r>
        <w:rPr>
          <w:rFonts w:ascii="Calibri" w:hAnsi="Calibri"/>
          <w:sz w:val="22"/>
        </w:rPr>
        <w:t xml:space="preserve"> — the NIST control this claim maps to - </w:t>
      </w:r>
      <w:r>
        <w:rPr>
          <w:rFonts w:ascii="Calibri" w:hAnsi="Calibri"/>
          <w:b/>
          <w:i w:val="0"/>
          <w:sz w:val="22"/>
        </w:rPr>
        <w:t>Implementation statement</w:t>
      </w:r>
      <w:r>
        <w:rPr>
          <w:rFonts w:ascii="Calibri" w:hAnsi="Calibri"/>
          <w:sz w:val="22"/>
        </w:rPr>
        <w:t xml:space="preserve"> — what the vendor record proves - </w:t>
      </w:r>
      <w:r>
        <w:rPr>
          <w:rFonts w:ascii="Calibri" w:hAnsi="Calibri"/>
          <w:b/>
          <w:i w:val="0"/>
          <w:sz w:val="22"/>
        </w:rPr>
        <w:t>Vendor-overlay reference</w:t>
      </w:r>
      <w:r>
        <w:rPr>
          <w:rFonts w:ascii="Calibri" w:hAnsi="Calibri"/>
          <w:sz w:val="22"/>
        </w:rPr>
        <w:t xml:space="preserve"> — pointer to `data/vendor-overlays/&lt;vendor&gt;.yaml` - </w:t>
      </w:r>
      <w:r>
        <w:rPr>
          <w:rFonts w:ascii="Calibri" w:hAnsi="Calibri"/>
          <w:b/>
          <w:i w:val="0"/>
          <w:sz w:val="22"/>
        </w:rPr>
        <w:t>Evidence hash</w:t>
      </w:r>
      <w:r>
        <w:rPr>
          <w:rFonts w:ascii="Calibri" w:hAnsi="Calibri"/>
          <w:sz w:val="22"/>
        </w:rPr>
        <w:t xml:space="preserve"> — SHA-256 of the raw record for provenance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```python ClaimObject(     claim_id   = "entra:abc123",     entity     = "entra:user:abc123",     fields     = { identity, control_id, implementation_statement, ... },     source     = "entra",     provenance_hash = sha256(raw_record) ) ```</w:t>
      </w:r>
    </w:p>
    <w:p>
      <w:pPr>
        <w:pStyle w:val="Heading3"/>
      </w:pPr>
      <w:r>
        <w:rPr>
          <w:color w:val="1B3A5C"/>
        </w:rPr>
        <w:t>Step 4 — Align to Overlay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adapter packages all claims into a `ClaimSet` with a source reference back to the vendor API. The engine merges this alignment into the canon and hands it to the generators for full artifact creation.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``` Adapter.normalize(raw_rows)        ← ClaimSet (claims[], source_reference)               │               ▼        Engine merges into canon → generators/ produce artifacts ```</w:t>
      </w:r>
    </w:p>
    <w:p>
      <w:pPr>
        <w:pStyle w:val="Heading2"/>
      </w:pPr>
      <w:r>
        <w:rPr>
          <w:color w:val="1B3A5C"/>
        </w:rPr>
        <w:t>Key Design Principles</w:t>
      </w:r>
    </w:p>
    <w:p>
      <w:pPr>
        <w:pStyle w:val="Heading3"/>
      </w:pPr>
      <w:r>
        <w:rPr>
          <w:color w:val="1B3A5C"/>
        </w:rPr>
        <w:t>Adapters Never Own Data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Adapters produce lightweight pointers (vendor-overlay + claim + evidence hash) that the generation engine consumes. They never copy, cache, or store vendor data. SSOT remains in the YAML canon.</w:t>
      </w:r>
    </w:p>
    <w:p>
      <w:pPr>
        <w:pStyle w:val="Heading3"/>
      </w:pPr>
      <w:r>
        <w:rPr>
          <w:color w:val="1B3A5C"/>
        </w:rPr>
        <w:t>Identity Is the Root Namespace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Every claim is rooted in an identity: `entra:user:abc123`, `snow:incident:INC0012345`, `cyberark:account:sa-prod-01`. This enables deterministic correlation across vendors.</w:t>
      </w:r>
    </w:p>
    <w:p>
      <w:pPr>
        <w:pStyle w:val="Heading3"/>
      </w:pPr>
      <w:r>
        <w:rPr>
          <w:color w:val="1B3A5C"/>
        </w:rPr>
        <w:t>Evidence Hash for Provenance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Every claim includes a SHA-256 hash of the raw vendor record. This creates an auditable chain from the final OSCAL artifact back to the original vendor event.</w:t>
      </w:r>
    </w:p>
    <w:p>
      <w:pPr>
        <w:pStyle w:val="Heading3"/>
      </w:pPr>
      <w:r>
        <w:rPr>
          <w:color w:val="1B3A5C"/>
        </w:rPr>
        <w:t>Drift Detection Built In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Each adapter includes a `detect_drift()` method that compares current vendor state against the YAML canon. Drift is reported but never auto-remediated — governance workflows handle the response.</w:t>
      </w:r>
    </w:p>
    <w:p>
      <w:pPr>
        <w:pStyle w:val="Heading3"/>
      </w:pPr>
      <w:r>
        <w:rPr>
          <w:color w:val="1B3A5C"/>
        </w:rPr>
        <w:t>Schema Discovery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Adapters expose a `discover_schema()` method that maps vendor-specific fields to the canonical UIAO schema. This enables the engine to validate mappings before processing.</w:t>
      </w:r>
    </w:p>
    <w:p>
      <w:pPr>
        <w:pStyle w:val="Heading2"/>
      </w:pPr>
      <w:r>
        <w:rPr>
          <w:color w:val="1B3A5C"/>
        </w:rPr>
        <w:t>Why This Matters for FedRAMP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DNS-style adapter pattern directly supports FedRAMP Moderate Rev 5 compliance: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 </w:t>
      </w:r>
      <w:r>
        <w:rPr>
          <w:rFonts w:ascii="Calibri" w:hAnsi="Calibri"/>
          <w:b/>
          <w:i w:val="0"/>
          <w:sz w:val="22"/>
        </w:rPr>
        <w:t>Continuous monitoring</w:t>
      </w:r>
      <w:r>
        <w:rPr>
          <w:rFonts w:ascii="Calibri" w:hAnsi="Calibri"/>
          <w:sz w:val="22"/>
        </w:rPr>
        <w:t xml:space="preserve"> — Adapters provide real-time evidence collection from vendor systems, not point-in-time snapshots. - </w:t>
      </w:r>
      <w:r>
        <w:rPr>
          <w:rFonts w:ascii="Calibri" w:hAnsi="Calibri"/>
          <w:b/>
          <w:i w:val="0"/>
          <w:sz w:val="22"/>
        </w:rPr>
        <w:t>Automated evidence</w:t>
      </w:r>
      <w:r>
        <w:rPr>
          <w:rFonts w:ascii="Calibri" w:hAnsi="Calibri"/>
          <w:sz w:val="22"/>
        </w:rPr>
        <w:t xml:space="preserve"> — Every claim carries an evidence hash linking back to the vendor record, satisfying OSCAL back-matter requirements. - </w:t>
      </w:r>
      <w:r>
        <w:rPr>
          <w:rFonts w:ascii="Calibri" w:hAnsi="Calibri"/>
          <w:b/>
          <w:i w:val="0"/>
          <w:sz w:val="22"/>
        </w:rPr>
        <w:t>Drift detection</w:t>
      </w:r>
      <w:r>
        <w:rPr>
          <w:rFonts w:ascii="Calibri" w:hAnsi="Calibri"/>
          <w:sz w:val="22"/>
        </w:rPr>
        <w:t xml:space="preserve"> — Continuous validation against the YAML canon catches configuration drift before it becomes a finding. - </w:t>
      </w:r>
      <w:r>
        <w:rPr>
          <w:rFonts w:ascii="Calibri" w:hAnsi="Calibri"/>
          <w:b/>
          <w:i w:val="0"/>
          <w:sz w:val="22"/>
        </w:rPr>
        <w:t>Audit trail</w:t>
      </w:r>
      <w:r>
        <w:rPr>
          <w:rFonts w:ascii="Calibri" w:hAnsi="Calibri"/>
          <w:sz w:val="22"/>
        </w:rPr>
        <w:t xml:space="preserve"> — The provenance chain (vendor API → collector → adapter → claim → generator → OSCAL artifact) is fully traceable. - </w:t>
      </w:r>
      <w:r>
        <w:rPr>
          <w:rFonts w:ascii="Calibri" w:hAnsi="Calibri"/>
          <w:b/>
          <w:i w:val="0"/>
          <w:sz w:val="22"/>
        </w:rPr>
        <w:t>Vendor independence</w:t>
      </w:r>
      <w:r>
        <w:rPr>
          <w:rFonts w:ascii="Calibri" w:hAnsi="Calibri"/>
          <w:sz w:val="22"/>
        </w:rPr>
        <w:t xml:space="preserve"> — The swappable adapter pattern means agencies can replace vendor systems without rebuilding the compliance pipeline.</w:t>
      </w:r>
    </w:p>
    <w:p>
      <w:pPr>
        <w:spacing w:after="80"/>
      </w:pPr>
    </w:p>
    <w:p>
      <w:pPr>
        <w:pStyle w:val="Heading2"/>
      </w:pPr>
      <w:r>
        <w:rPr>
          <w:color w:val="1B3A5C"/>
        </w:rPr>
        <w:t>Related Documents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README (summary)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[`README.md`](../README.md#how-adapters-work)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Adapter base classes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[`src/uiao_core/adapters/database_base.py`](../src/uiao_core/adapters/database_base.py)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Entra adapter (reference impl)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[`src/uiao_core/adapters/entra_adapter.py`](../src/uiao_core/adapters/entra_adapter.py)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ServiceNow adapter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[`src/uiao_core/adapters/servicenow_adapter.py`](../src/uiao_core/adapters/servicenow_adapter.py)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Vendor overlays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[`data/vendor-overlays/`](../data/vendor-overlays/)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KSI enrichment rules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[`rules/ksi/enrichment_rules.py`](../rules/ksi/enrichment_rules.py)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