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3A5C"/>
        </w:rPr>
        <w:t>UIAO Management Stack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Version 1.0</w:t>
      </w:r>
    </w:p>
    <w:p>
      <w:pPr>
        <w:pStyle w:val="Heading2"/>
      </w:pPr>
      <w:r>
        <w:rPr>
          <w:color w:val="1B3A5C"/>
        </w:rPr>
        <w:t>4. Vendor Logic Processing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following diagram illustrates how the UIAO data layer processes management stack configurations through the Jinja2 rendering pipeline to produce vendor-specific outputs.</w:t>
      </w:r>
    </w:p>
    <w:p>
      <w:pPr>
        <w:spacing w:after="80"/>
      </w:pPr>
    </w:p>
    <w:p>
      <w:pPr>
        <w:spacing w:before="120" w:after="120" w:line="276" w:lineRule="auto"/>
      </w:pPr>
      <w:r>
        <w:rPr>
          <w:rFonts w:ascii="Calibri" w:hAnsi="Calibri"/>
          <w:b w:val="0"/>
          <w:i/>
          <w:sz w:val="22"/>
        </w:rPr>
        <w:t>Generated from UIAO data layer — Management Stack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