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AAN Track A — Assessment Rubrics</w:t>
      </w:r>
    </w:p>
    <w:p>
      <w:r>
        <w:rPr>
          <w:i/>
          <w:color w:val="5A5A5A"/>
          <w:sz w:val="24"/>
        </w:rPr>
        <w:t>Per-slot scoring sheets for the compliance-track capstone (the eight-slot walk)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</w:t>
      </w:r>
      <w:r>
        <w:rPr>
          <w:b/>
          <w:i/>
          <w:sz w:val="20"/>
        </w:rPr>
        <w:t>companion material for the federal AAN book series, not part of UIAO.</w:t>
      </w:r>
    </w:p>
    <w:p>
      <w:pPr>
        <w:spacing w:before="80" w:after="80"/>
      </w:pPr>
      <w:r>
        <w:rPr>
          <w:sz w:val="22"/>
        </w:rPr>
        <w:t xml:space="preserve">These rubrics score the Track A capstone: one document covering all eight evidence slots, backed by a real </w:t>
      </w:r>
      <w:r>
        <w:rPr>
          <w:rFonts w:ascii="Consolas" w:hAnsi="Consolas"/>
          <w:sz w:val="22"/>
        </w:rPr>
        <w:t>uiao oscal ksi-ar</w:t>
      </w:r>
      <w:r>
        <w:rPr>
          <w:sz w:val="22"/>
        </w:rPr>
        <w:t xml:space="preserve"> run. Self-assess or peer-assess; the rubric language is deliberately the language an assessor would use.</w:t>
      </w:r>
    </w:p>
    <w:p>
      <w:pPr>
        <w:pStyle w:val="Heading2"/>
      </w:pPr>
      <w:r>
        <w:rPr>
          <w:color w:val="0D1B2E"/>
        </w:rPr>
        <w:t>The scale (applies to every slot)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Missing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Slot not addressed, or addressed without reference to the books or the mapping YAML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Named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Feeding books and KSI category named correctly, but controls or evidence flow are wrong/absent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Traced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Book → NIST anchor → KSI category → evidence source chain is complete and correct against the slot mapping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Assessor-ready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 xml:space="preserve">Level 2 </w:t>
            </w:r>
            <w:r>
              <w:rPr>
                <w:b/>
                <w:sz w:val="18"/>
              </w:rPr>
              <w:t>plus</w:t>
            </w:r>
            <w:r>
              <w:rPr>
                <w:sz w:val="18"/>
              </w:rPr>
              <w:t xml:space="preserve"> a real verdict from </w:t>
            </w:r>
            <w:r>
              <w:rPr>
                <w:rFonts w:ascii="Consolas" w:hAnsi="Consolas"/>
                <w:sz w:val="18"/>
              </w:rPr>
              <w:t>uiao oscal ksi-ar</w:t>
            </w:r>
            <w:r>
              <w:rPr>
                <w:sz w:val="18"/>
              </w:rPr>
              <w:t>, an honest gap statement for anything not-evaluated, and the deadline that gap answers to</w:t>
            </w:r>
          </w:p>
        </w:tc>
      </w:tr>
    </w:tbl>
    <w:p/>
    <w:p>
      <w:pPr>
        <w:spacing w:before="80" w:after="80"/>
      </w:pPr>
      <w:r>
        <w:rPr>
          <w:b/>
          <w:sz w:val="22"/>
        </w:rPr>
        <w:t>Pass bar for Track A:</w:t>
      </w:r>
      <w:r>
        <w:rPr>
          <w:sz w:val="22"/>
        </w:rPr>
        <w:t xml:space="preserve"> every slot at level 2 or higher, </w:t>
      </w:r>
      <w:r>
        <w:rPr>
          <w:b/>
          <w:sz w:val="22"/>
        </w:rPr>
        <w:t>and</w:t>
      </w:r>
      <w:r>
        <w:rPr>
          <w:sz w:val="22"/>
        </w:rPr>
        <w:t xml:space="preserve"> at least three slots at level 3. (All seven at level 3 is the "distinguished" outcome — it is, in substance, a ConMon narrative.)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-fig-04-rubric-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The rubric ladder: Missing → Named → Traced → Assessor-ready, with the pass bar and the four common checks.</w:t>
      </w:r>
    </w:p>
    <w:p>
      <w:pPr>
        <w:pStyle w:val="Heading2"/>
      </w:pPr>
      <w:r>
        <w:rPr>
          <w:color w:val="0D1B2E"/>
        </w:rPr>
        <w:t>Common checks (scored once, apply to the whole capstone)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Yes/No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ksi-ar</w:t>
            </w:r>
            <w:r>
              <w:rPr>
                <w:sz w:val="18"/>
              </w:rPr>
              <w:t xml:space="preserve"> output file is attached/linked, not just described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Every control ID cited appears in the slot mapping or the book itself (no invented controls)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Scaffold/not-evaluated rules are stated as gaps, not glossed as satisfied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Each gap names its forcing deadline (e.g., BOD 26-04 Dec 7 2026; 20x mandatory Jan 1 2027)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pPr>
        <w:pStyle w:val="Heading2"/>
      </w:pPr>
      <w:r>
        <w:rPr>
          <w:color w:val="0D1B2E"/>
        </w:rPr>
        <w:t>Slot 1 — identity (KSI-IAM)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03, 04, 07 named (05 as procedural companion)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IA-2(+1/2/11), IA-5, IA-11, AC-2(+1), AC-3, AC-5/6 family, AC-17, CA-7 mapped to the right book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Before/after table for at least one AC-6 enhancement (Book 07 style)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Sign-in/risk logs named as the source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 privileged-role trace: PIM design → control → KSI rule → audit log entry (e.g., the PIM lab export)</w:t>
            </w:r>
          </w:p>
        </w:tc>
      </w:tr>
    </w:tbl>
    <w:p/>
    <w:p>
      <w:pPr>
        <w:pStyle w:val="Heading2"/>
      </w:pPr>
      <w:r>
        <w:rPr>
          <w:color w:val="0D1B2E"/>
        </w:rPr>
        <w:t>Slot 2 — addressing (KSI-PIY)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CM-8 / AC-4 anchors; the 16-control closure claim attributed to the roadmap, not asserted as fact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IPAM inventory named as the attestation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An actual inventory artifact (vendor export or the DDI lab fixture) referenced from the slot-02 mapping</w:t>
            </w:r>
          </w:p>
        </w:tc>
      </w:tr>
    </w:tbl>
    <w:p/>
    <w:p>
      <w:pPr>
        <w:pStyle w:val="Heading2"/>
      </w:pPr>
      <w:r>
        <w:rPr>
          <w:color w:val="0D1B2E"/>
        </w:rPr>
        <w:t>Slot 3 — network (KSI-CNA)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02, 06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SC-8 / CA-7 anchors; Book 06's SC/SI depth distinguished from Book 02's argument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One application-aware path policy mapped to SC-8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The CA-7 continuous signal that proves the policy stays enforced, named concretely (probe, log, or export)</w:t>
            </w:r>
          </w:p>
        </w:tc>
      </w:tr>
    </w:tbl>
    <w:p/>
    <w:p>
      <w:pPr>
        <w:pStyle w:val="Heading2"/>
      </w:pPr>
      <w:r>
        <w:rPr>
          <w:color w:val="0D1B2E"/>
        </w:rPr>
        <w:t>Slot 4 — telemetry (KSI-MLA)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08, 09, 10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CA-7 / SI-4 anchors; RA-5 family, SI-2, AU-6/7/8/11, IR-4/6/8 assigned to the right book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KEV-scenario trace: Defender VM finding → Sentinel incident → SI-4/RA-5 closure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 fired-rule artifact (e.g., the Sentinel lab chain) plus the AU-11 retention argument</w:t>
            </w:r>
          </w:p>
        </w:tc>
      </w:tr>
    </w:tbl>
    <w:p/>
    <w:p>
      <w:pPr>
        <w:pStyle w:val="Heading2"/>
      </w:pPr>
      <w:r>
        <w:rPr>
          <w:color w:val="0D1B2E"/>
        </w:rPr>
        <w:t>Slot 5 — endpoint (KSI-PIY)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07 (PAW), 08 (assessment surface), 14 (PII endpoints)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CM-8 / IA-3 anchors; PT entry points from Book 14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Endpoint-inventory statement covering device identity and completeness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The PII-handling endpoint subset called out with its Book 14 transparency treatment</w:t>
            </w:r>
          </w:p>
        </w:tc>
      </w:tr>
    </w:tbl>
    <w:p/>
    <w:p>
      <w:pPr>
        <w:pStyle w:val="Heading2"/>
      </w:pPr>
      <w:r>
        <w:rPr>
          <w:color w:val="0D1B2E"/>
        </w:rPr>
        <w:t>Slot 6 — security configuration &amp; change (KSI-CMT)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08, 10, 12, 13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CM-2 / AC-4 anchors; SR family from Book 12; PM family from Book 13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The BOD 26-04 submission story: SBOM artifacts → KSI-011–014 activation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An actual SBOM/VDR artifact, and the Book 16 submission cadence stated against the Dec 7 2026 gate</w:t>
            </w:r>
          </w:p>
        </w:tc>
      </w:tr>
    </w:tbl>
    <w:p/>
    <w:p>
      <w:pPr>
        <w:pStyle w:val="Heading2"/>
      </w:pPr>
      <w:r>
        <w:rPr>
          <w:color w:val="0D1B2E"/>
        </w:rPr>
        <w:t>Slot 7 — continuity (KSI-RPL)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CP-2 through CP-10 with enhancement counts right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One contingency-test exercise mapped to CP-4 via the slot-07 binding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 tabletop AAR (even a lab one) with findings and owners — a zero-finding AAR scores 0 here, per Book 11</w:t>
            </w:r>
          </w:p>
        </w:tc>
      </w:tr>
    </w:tbl>
    <w:p/>
    <w:p>
      <w:pPr>
        <w:pStyle w:val="Heading2"/>
      </w:pPr>
      <w:r>
        <w:rPr>
          <w:color w:val="0D1B2E"/>
        </w:rPr>
        <w:t>Slot 8 — training (KSI-CED)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2 evidence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3 adds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Books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15 (16 as the freshness/ConMon context)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Controls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AT-2(+1/+2), AT-3(+3/+5), AT-4, CP-3, IR-2 mapped to the four training dimensions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Evidence flow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training-effectiveness-record</w:t>
            </w:r>
            <w:r>
              <w:rPr>
                <w:sz w:val="18"/>
              </w:rPr>
              <w:t xml:space="preserve"> JSON named as the KSI-022 evidence contract, with the ≥95% thresholds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An actual record (lab-generated is fine) passing the PASS logic, with per-identity phishing results — aggregate-only stats score 0 here, per Book 15</w:t>
            </w:r>
          </w:p>
        </w:tc>
      </w:tr>
    </w:tbl>
    <w:p/>
    <w:p>
      <w:pPr>
        <w:pStyle w:val="Heading2"/>
      </w:pPr>
      <w:r>
        <w:rPr>
          <w:color w:val="0D1B2E"/>
        </w:rPr>
        <w:t>Scoring sheet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Slot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Level (0–3)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1 — identity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2 — addressing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3 — network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4 — telemetry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5 — endpoint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6 — security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7 — continuity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8 — training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Common checks passed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/4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Pass / Not yet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Pass = all ≥2, ≥3 at level 3, 4/4 common checks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