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D1B2E"/>
        </w:rPr>
        <w:t>Book 00 — Executive Summary</w:t>
      </w:r>
    </w:p>
    <w:p>
      <w:r>
        <w:rPr>
          <w:i/>
          <w:color w:val="5A5A5A"/>
          <w:sz w:val="24"/>
        </w:rPr>
        <w:t>AAN module: the decision-maker synthesis of the series</w:t>
      </w:r>
    </w:p>
    <w:p>
      <w:r>
        <w:rPr>
          <w:color w:val="1E8C8C"/>
          <w:sz w:val="18"/>
        </w:rPr>
        <w:t>Federal AAN Training Program — companion material for the federal AAN book series; not part of UIAO.</w:t>
      </w:r>
    </w:p>
    <w:p>
      <w:pPr>
        <w:spacing w:before="80" w:after="80"/>
      </w:pPr>
      <w:r>
        <w:rPr>
          <w:b/>
          <w:sz w:val="22"/>
        </w:rPr>
        <w:t>Source:</w:t>
      </w:r>
      <w:r>
        <w:rPr>
          <w:sz w:val="22"/>
        </w:rPr>
        <w:t xml:space="preserve"> Book_00 Executive Summary &lt;https://github.com/WhalerMike/uiao/blob/main/inbox/Application%20Aware%20Networking/Book_00_Federal_Application_Aware_Networking_Executive_Summary.qmd&gt; · </w:t>
      </w:r>
      <w:r>
        <w:rPr>
          <w:b/>
          <w:sz w:val="22"/>
        </w:rPr>
        <w:t>Evidence slot:</w:t>
      </w:r>
      <w:r>
        <w:rPr>
          <w:sz w:val="22"/>
        </w:rPr>
        <w:t xml:space="preserve"> — (orientation) · </w:t>
      </w:r>
      <w:r>
        <w:rPr>
          <w:b/>
          <w:sz w:val="22"/>
        </w:rPr>
        <w:t>Track modules:</w:t>
      </w:r>
      <w:r>
        <w:rPr>
          <w:sz w:val="22"/>
        </w:rPr>
        <w:t xml:space="preserve"> A0, Track B prerequisite</w:t>
      </w:r>
    </w:p>
    <w:p>
      <w:pPr>
        <w:pStyle w:val="Heading2"/>
      </w:pPr>
      <w:r>
        <w:rPr>
          <w:color w:val="0D1B2E"/>
        </w:rPr>
        <w:t>Scope</w:t>
      </w:r>
    </w:p>
    <w:p>
      <w:pPr>
        <w:spacing w:before="80" w:after="80"/>
      </w:pPr>
      <w:r>
        <w:rPr>
          <w:sz w:val="22"/>
        </w:rPr>
        <w:t xml:space="preserve">The decision-maker synthesis of the series. Thesis: the agency's compliance debt is an </w:t>
      </w:r>
      <w:r>
        <w:rPr>
          <w:b/>
          <w:sz w:val="22"/>
        </w:rPr>
        <w:t>architectural pattern mismatch, not a resource shortage</w:t>
      </w:r>
      <w:r>
        <w:rPr>
          <w:sz w:val="22"/>
        </w:rPr>
        <w:t xml:space="preserve"> — the six core implementations close 34 distinct NIST SP 800-53 Rev 5 controls (~55 more via Parts 7–11), and together they </w:t>
      </w:r>
      <w:r>
        <w:rPr>
          <w:i/>
          <w:sz w:val="22"/>
        </w:rPr>
        <w:t>are</w:t>
      </w:r>
      <w:r>
        <w:rPr>
          <w:sz w:val="22"/>
        </w:rPr>
        <w:t xml:space="preserve"> the FedRAMP 20x continuous-monitoring posture that becomes mandatory January 1, 2027.</w:t>
      </w:r>
    </w:p>
    <w:p>
      <w:pPr>
        <w:pStyle w:val="Heading2"/>
      </w:pPr>
      <w:r>
        <w:rPr>
          <w:color w:val="0D1B2E"/>
        </w:rPr>
        <w:t>Learning objectives</w:t>
      </w:r>
    </w:p>
    <w:p>
      <w:pPr>
        <w:pStyle w:val="ListBullet"/>
      </w:pPr>
      <w:r>
        <w:rPr>
          <w:sz w:val="22"/>
        </w:rPr>
        <w:t>Map expected POA&amp;M findings (CM-8, SC-20/21, SC-7, AU-2/12, IA-9, IA-2, IA-5) to the architectural gap causing each and the technology closing it.</w:t>
      </w:r>
    </w:p>
    <w:p>
      <w:pPr>
        <w:pStyle w:val="ListBullet"/>
      </w:pPr>
      <w:r>
        <w:rPr>
          <w:sz w:val="22"/>
        </w:rPr>
        <w:t>State the FedRAMP 20x hard deadlines: Class A August 3, 2026; Class B/C August 31, 2026; BOD 26-04 December 7, 2026; 20x mandatory January 1, 2027; Rev 5 cutoff June 11, 2027.</w:t>
      </w:r>
    </w:p>
    <w:p>
      <w:pPr>
        <w:pStyle w:val="ListBullet"/>
      </w:pPr>
      <w:r>
        <w:rPr>
          <w:sz w:val="22"/>
        </w:rPr>
        <w:t>State the four criteria that make a control "closed" under 20x: evidence that is automatic, machine-readable, continuous, and programmatically validatable.</w:t>
      </w:r>
    </w:p>
    <w:p>
      <w:pPr>
        <w:pStyle w:val="ListBullet"/>
      </w:pPr>
      <w:r>
        <w:rPr>
          <w:sz w:val="22"/>
        </w:rPr>
        <w:t>Assign each book to its control families and core technology.</w:t>
      </w:r>
    </w:p>
    <w:p>
      <w:pPr>
        <w:pStyle w:val="ListBullet"/>
      </w:pPr>
      <w:r>
        <w:rPr>
          <w:sz w:val="22"/>
        </w:rPr>
        <w:t>Justify the implementation priority order (DDI first; SD-WAN/SASE concurrent; Entra/ZTNA as a phased program; SQL/Arc in parallel).</w:t>
      </w:r>
    </w:p>
    <w:p>
      <w:pPr>
        <w:pStyle w:val="ListBullet"/>
      </w:pPr>
      <w:r>
        <w:rPr>
          <w:sz w:val="22"/>
        </w:rPr>
        <w:t>Identify the residual gap families (SR, PM, PT) closed by Books 12–14.</w:t>
      </w:r>
    </w:p>
    <w:p>
      <w:pPr>
        <w:pStyle w:val="Heading2"/>
      </w:pPr>
      <w:r>
        <w:rPr>
          <w:color w:val="0D1B2E"/>
        </w:rPr>
        <w:t>Key concepts</w:t>
      </w:r>
    </w:p>
    <w:p>
      <w:pPr>
        <w:pStyle w:val="ListBullet"/>
      </w:pPr>
      <w:r>
        <w:rPr>
          <w:sz w:val="22"/>
        </w:rPr>
        <w:t>The expected-POA&amp;M-to-closure mapping table (finding → root cause → closing technology).</w:t>
      </w:r>
    </w:p>
    <w:p>
      <w:pPr>
        <w:pStyle w:val="ListBullet"/>
      </w:pPr>
      <w:r>
        <w:rPr>
          <w:sz w:val="22"/>
        </w:rPr>
        <w:t>"DIA is a pipe" — direct internet access alone satisfies zero NIST controls; the SASE/SD-WAN stack closes them.</w:t>
      </w:r>
    </w:p>
    <w:p>
      <w:pPr>
        <w:pStyle w:val="ListBullet"/>
      </w:pPr>
      <w:r>
        <w:rPr>
          <w:sz w:val="22"/>
        </w:rPr>
        <w:t>SSOT-before-tokens structural dependency (token identity presumes a restored single source of truth).</w:t>
      </w:r>
    </w:p>
    <w:p>
      <w:pPr>
        <w:pStyle w:val="ListBullet"/>
      </w:pPr>
      <w:r>
        <w:rPr>
          <w:sz w:val="22"/>
        </w:rPr>
        <w:t>KSI themes (KSI-MLA, KSI-SVC, KSI-IAM) and machine-readable evidence.</w:t>
      </w:r>
    </w:p>
    <w:p>
      <w:pPr>
        <w:pStyle w:val="ListBullet"/>
      </w:pPr>
      <w:r>
        <w:rPr>
          <w:sz w:val="22"/>
        </w:rPr>
        <w:t>The Conformance Adapter + OSCAL Emitter (AP/AR/POAM bundles) and the evidence surface slots — the same slots that structure Track A.</w:t>
      </w:r>
    </w:p>
    <w:p>
      <w:pPr>
        <w:pStyle w:val="Heading2"/>
      </w:pPr>
      <w:r>
        <w:rPr>
          <w:color w:val="0D1B2E"/>
        </w:rPr>
        <w:t>Reading sequence</w:t>
      </w:r>
    </w:p>
    <w:p>
      <w:pPr>
        <w:spacing w:before="80" w:after="80"/>
      </w:pPr>
      <w:r>
        <w:rPr>
          <w:sz w:val="22"/>
        </w:rPr>
        <w:t>Not implementation-shaped; it is the argument for the whole program: findings diagnosis → deadline map → per-book control closure → priority order → phased delivery roadmap (Phase 0 July 2026 through the BOD 26-04 submission December 7, 2026) → residual gaps.</w:t>
      </w:r>
    </w:p>
    <w:p>
      <w:pPr>
        <w:pStyle w:val="Heading2"/>
      </w:pPr>
      <w:r>
        <w:rPr>
          <w:color w:val="0D1B2E"/>
        </w:rPr>
        <w:t>Compliance hooks</w:t>
      </w:r>
    </w:p>
    <w:p>
      <w:pPr>
        <w:spacing w:before="80" w:after="80"/>
      </w:pPr>
      <w:r>
        <w:rPr>
          <w:sz w:val="22"/>
        </w:rPr>
        <w:t>The widest citation surface in the series — SC, CM, AU, IA, AC, CA, CP, IR, SA, SI, RA, MP families plus the SR/PM/PT gap families; FedRAMP 20x Consolidated Rules, KSI-011–014, BOD 26-04, EO 14028, OMB M-22-09, TIC 3.0, NIST SP 800-207.</w:t>
      </w:r>
    </w:p>
    <w:p>
      <w:pPr>
        <w:pStyle w:val="Heading2"/>
      </w:pPr>
      <w:r>
        <w:rPr>
          <w:color w:val="0D1B2E"/>
        </w:rPr>
        <w:t>Labs</w:t>
      </w:r>
    </w:p>
    <w:p>
      <w:pPr>
        <w:pStyle w:val="ListNumber"/>
      </w:pPr>
      <w:r>
        <w:rPr>
          <w:sz w:val="22"/>
        </w:rPr>
        <w:t>Build a POA&amp;M-to-closure traceability matrix: take the findings table and produce OSCAL-style entries mapping each finding to control, technology, and evidence artifact.</w:t>
      </w:r>
    </w:p>
    <w:p>
      <w:pPr>
        <w:pStyle w:val="ListNumber"/>
      </w:pPr>
      <w:r>
        <w:rPr>
          <w:sz w:val="22"/>
        </w:rPr>
        <w:t>Write a small KSI evidence validator: given sample JSON evidence (e.g., an IP inventory export), check it against the four "closed under 20x" criteria.</w:t>
      </w:r>
    </w:p>
    <w:p>
      <w:pPr>
        <w:pStyle w:val="ListNumber"/>
      </w:pPr>
      <w:r>
        <w:rPr>
          <w:sz w:val="22"/>
        </w:rPr>
        <w:t>Build the Phase 0–4 delivery plan as a dependency graph and identify which slips break the December 7, 2026 BOD 26-04 gate.</w:t>
      </w:r>
    </w:p>
    <w:p>
      <w:pPr>
        <w:pStyle w:val="Heading2"/>
      </w:pPr>
      <w:r>
        <w:rPr>
          <w:color w:val="0D1B2E"/>
        </w:rPr>
        <w:t>Pitfalls the book calls out</w:t>
      </w:r>
    </w:p>
    <w:p>
      <w:pPr>
        <w:pStyle w:val="ListBullet"/>
      </w:pPr>
      <w:r>
        <w:rPr>
          <w:sz w:val="22"/>
        </w:rPr>
        <w:t>Treating POA&amp;M items as periodic-remediation tasks — under 20x they demand continuous machine-readable evidence; manual assembly cannot satisfy KSIs.</w:t>
      </w:r>
    </w:p>
    <w:p>
      <w:pPr>
        <w:pStyle w:val="ListBullet"/>
      </w:pPr>
      <w:r>
        <w:rPr>
          <w:sz w:val="22"/>
        </w:rPr>
        <w:t>Rolling out tokens before SSOT restoration ("signing broken authorizations efficiently").</w:t>
      </w:r>
    </w:p>
    <w:p>
      <w:pPr>
        <w:pStyle w:val="ListBullet"/>
      </w:pPr>
      <w:r>
        <w:rPr>
          <w:sz w:val="22"/>
        </w:rPr>
        <w:t>Assuming network/security books close SR/PM/PT controls — they cannot.</w:t>
      </w:r>
    </w:p>
    <w:p>
      <w:pPr>
        <w:pStyle w:val="Heading2"/>
      </w:pPr>
      <w:r>
        <w:rPr>
          <w:color w:val="0D1B2E"/>
        </w:rPr>
        <w:t>Vendor training</w:t>
      </w:r>
    </w:p>
    <w:p>
      <w:pPr>
        <w:spacing w:before="80" w:after="80"/>
      </w:pPr>
      <w:r>
        <w:rPr>
          <w:sz w:val="22"/>
        </w:rPr>
        <w:t>SC-100 Cybersecurity Architect, ISC2, FedRAMP PMO materials.</w:t>
      </w:r>
    </w:p>
    <w:p>
      <w:pPr>
        <w:spacing w:before="80" w:after="80"/>
      </w:pPr>
      <w:r>
        <w:rPr>
          <w:b/>
          <w:sz w:val="22"/>
        </w:rPr>
        <w:t>Next:</w:t>
      </w:r>
      <w:r>
        <w:rPr>
          <w:sz w:val="22"/>
        </w:rPr>
        <w:t xml:space="preserve"> Book 01 — SSA Landing Zone, IPAM &amp; FedRAMP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