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04 — SQL Server Authentication Modernization</w:t>
      </w:r>
    </w:p>
    <w:p>
      <w:r>
        <w:rPr>
          <w:i/>
          <w:color w:val="5A5A5A"/>
          <w:sz w:val="24"/>
        </w:rPr>
        <w:t>AAN module: replacing Kerberos/NTLM and SQL logins with Arc Managed Identity and Entra tokens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Book_04 SQL Server Authentication Modernization &lt;https://github.com/WhalerMike/uiao/blob/main/inbox/Application%20Aware%20Networking/Book_04_Federal_Application_Aware_Networking_SQL_Server_Authentication_Modernization.qmd&gt; · </w:t>
      </w:r>
      <w:r>
        <w:rPr>
          <w:b/>
          <w:sz w:val="22"/>
        </w:rPr>
        <w:t>Evidence slot:</w:t>
      </w:r>
      <w:r>
        <w:rPr>
          <w:sz w:val="22"/>
        </w:rPr>
        <w:t xml:space="preserve"> 1 — identity (KSI-IAM, IA-2 / AC-2) · </w:t>
      </w:r>
      <w:r>
        <w:rPr>
          <w:b/>
          <w:sz w:val="22"/>
        </w:rPr>
        <w:t>Track modules:</w:t>
      </w:r>
      <w:r>
        <w:rPr>
          <w:sz w:val="22"/>
        </w:rPr>
        <w:t xml:space="preserve"> A1, B3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The authentication layer that persists after network controls: replacing Kerberos/NTLM domain credentials and SQL logins across the federal SQL Server estate with Azure Arc Managed Identity, Entra ID token authentication, and Conditional Access. </w:t>
      </w:r>
      <w:r>
        <w:rPr>
          <w:b/>
          <w:sz w:val="22"/>
        </w:rPr>
        <w:t>NTLM elimination (BOD 25-01, OMB M-22-09) is the goal; Entra token authentication via Arc is the mechanism</w:t>
      </w:r>
      <w:r>
        <w:rPr>
          <w:sz w:val="22"/>
        </w:rPr>
        <w:t xml:space="preserve"> — and the only credential-free option.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Explain Kerberos's three requirements (reachable KDC, correct SPN, clock sync), why hybrid cloud breaks them, and the resulting silent NTLM fallback.</w:t>
      </w:r>
    </w:p>
    <w:p>
      <w:pPr>
        <w:pStyle w:val="ListBullet"/>
      </w:pPr>
      <w:r>
        <w:rPr>
          <w:sz w:val="22"/>
        </w:rPr>
        <w:t>Articulate NTLM's compliance gaps: audit opacity, pass-the-hash, Conditional Access bypass.</w:t>
      </w:r>
    </w:p>
    <w:p>
      <w:pPr>
        <w:pStyle w:val="ListBullet"/>
      </w:pPr>
      <w:r>
        <w:rPr>
          <w:sz w:val="22"/>
        </w:rPr>
        <w:t>Run estate discovery across four dimensions (version/EOL, auth methods, SPN registration, dependency mapping) and apply the consolidation gate.</w:t>
      </w:r>
    </w:p>
    <w:p>
      <w:pPr>
        <w:pStyle w:val="ListBullet"/>
      </w:pPr>
      <w:r>
        <w:rPr>
          <w:sz w:val="22"/>
        </w:rPr>
        <w:t>Distinguish Layer 1 (SQL Engine Entra auth on SQL Server 2022 + Arc) from Layer 2 (OS-level Entra login on Windows Server 2025, domain-unjoined).</w:t>
      </w:r>
    </w:p>
    <w:p>
      <w:pPr>
        <w:pStyle w:val="ListBullet"/>
      </w:pPr>
      <w:r>
        <w:rPr>
          <w:sz w:val="22"/>
        </w:rPr>
        <w:t>Justify Arc Managed Identity over gMSA, vault-managed service principals, and certificate-based authentication.</w:t>
      </w:r>
    </w:p>
    <w:p>
      <w:pPr>
        <w:pStyle w:val="ListBullet"/>
      </w:pPr>
      <w:r>
        <w:rPr>
          <w:sz w:val="22"/>
        </w:rPr>
        <w:t>Execute the four-phase parallel-run login migration (Create → Validate → Disable → Drop after 30-day observation).</w:t>
      </w:r>
    </w:p>
    <w:p>
      <w:pPr>
        <w:pStyle w:val="ListBullet"/>
      </w:pPr>
      <w:r>
        <w:rPr>
          <w:sz w:val="22"/>
        </w:rPr>
        <w:t>Classify applications into the four authentication classes and transform connection strings (</w:t>
      </w:r>
      <w:r>
        <w:rPr>
          <w:rFonts w:ascii="Consolas" w:hAnsi="Consolas"/>
          <w:sz w:val="22"/>
        </w:rPr>
        <w:t>Integrated Security=SSPI</w:t>
      </w:r>
      <w:r>
        <w:rPr>
          <w:sz w:val="22"/>
        </w:rPr>
        <w:t xml:space="preserve"> → </w:t>
      </w:r>
      <w:r>
        <w:rPr>
          <w:rFonts w:ascii="Consolas" w:hAnsi="Consolas"/>
          <w:sz w:val="22"/>
        </w:rPr>
        <w:t>Authentication=Active Directory Default</w:t>
      </w:r>
      <w:r>
        <w:rPr>
          <w:sz w:val="22"/>
        </w:rPr>
        <w:t>).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>Arc system-assigned Managed Identity: certificate-backed, auto-rotated every 90 days, no human-visible credential.</w:t>
      </w:r>
    </w:p>
    <w:p>
      <w:pPr>
        <w:pStyle w:val="ListBullet"/>
      </w:pPr>
      <w:r>
        <w:rPr>
          <w:sz w:val="22"/>
        </w:rPr>
        <w:t>Three-phase NTLM elimination (Discovery → Remediation → Domain-wide block) and the four NTLM-generating patterns (missing SPN, cross-site, linked-server passthrough, non-domain host).</w:t>
      </w:r>
    </w:p>
    <w:p>
      <w:pPr>
        <w:pStyle w:val="ListBullet"/>
      </w:pPr>
      <w:r>
        <w:rPr>
          <w:rFonts w:ascii="Consolas" w:hAnsi="Consolas"/>
          <w:sz w:val="22"/>
        </w:rPr>
        <w:t>CREATE LOGIN … FROM EXTERNAL PROVIDER</w:t>
      </w:r>
      <w:r>
        <w:rPr>
          <w:sz w:val="22"/>
        </w:rPr>
        <w:t xml:space="preserve">; </w:t>
      </w:r>
      <w:r>
        <w:rPr>
          <w:rFonts w:ascii="Consolas" w:hAnsi="Consolas"/>
          <w:sz w:val="22"/>
        </w:rPr>
        <w:t>sa</w:t>
      </w:r>
      <w:r>
        <w:rPr>
          <w:sz w:val="22"/>
        </w:rPr>
        <w:t xml:space="preserve"> disable-and-rename.</w:t>
      </w:r>
    </w:p>
    <w:p>
      <w:pPr>
        <w:pStyle w:val="ListBullet"/>
      </w:pPr>
      <w:r>
        <w:rPr>
          <w:sz w:val="22"/>
        </w:rPr>
        <w:t>Entra dynamic groups as HR-attribute-driven SQL authorization; Conditional Access as a perimeter SQL Server cannot express.</w:t>
      </w:r>
    </w:p>
    <w:p>
      <w:pPr>
        <w:pStyle w:val="ListBullet"/>
      </w:pPr>
      <w:r>
        <w:rPr>
          <w:sz w:val="22"/>
        </w:rPr>
        <w:t>Application classes: Class 3 OIDC/token (preferred) → Class 2 SAML → Class 1 App Proxy → Class 4 Domain Services (last resort).</w:t>
      </w:r>
    </w:p>
    <w:p>
      <w:pPr>
        <w:pStyle w:val="Heading2"/>
      </w:pPr>
      <w:r>
        <w:rPr>
          <w:color w:val="0D1B2E"/>
        </w:rPr>
        <w:t>Implementation sequence</w:t>
      </w:r>
    </w:p>
    <w:p>
      <w:pPr>
        <w:pStyle w:val="ListNumber"/>
      </w:pPr>
      <w:r>
        <w:rPr>
          <w:sz w:val="22"/>
        </w:rPr>
        <w:t>Estate discovery and consolidation gate (retain / consolidate / retire; zombie detection at 90 days idle).</w:t>
      </w:r>
    </w:p>
    <w:p>
      <w:pPr>
        <w:pStyle w:val="ListNumber"/>
      </w:pPr>
      <w:r>
        <w:rPr>
          <w:sz w:val="22"/>
        </w:rPr>
        <w:t>Arc enrollment and Layer 1 Entra authentication on retained instances.</w:t>
      </w:r>
    </w:p>
    <w:p>
      <w:pPr>
        <w:pStyle w:val="ListNumber"/>
      </w:pPr>
      <w:r>
        <w:rPr>
          <w:sz w:val="22"/>
        </w:rPr>
        <w:t>NTLM elimination Phases A–C, ending in a domain-wide block after a 30-day zero-NTLM observation window.</w:t>
      </w:r>
    </w:p>
    <w:p>
      <w:pPr>
        <w:pStyle w:val="ListNumber"/>
      </w:pPr>
      <w:r>
        <w:rPr>
          <w:sz w:val="22"/>
        </w:rPr>
        <w:t xml:space="preserve">Four-phase login migration per instance, including </w:t>
      </w:r>
      <w:r>
        <w:rPr>
          <w:rFonts w:ascii="Consolas" w:hAnsi="Consolas"/>
          <w:sz w:val="22"/>
        </w:rPr>
        <w:t>sa</w:t>
      </w:r>
      <w:r>
        <w:rPr>
          <w:sz w:val="22"/>
        </w:rPr>
        <w:t xml:space="preserve"> handling.</w:t>
      </w:r>
    </w:p>
    <w:p>
      <w:pPr>
        <w:pStyle w:val="ListNumber"/>
      </w:pPr>
      <w:r>
        <w:rPr>
          <w:sz w:val="22"/>
        </w:rPr>
        <w:t>Application chain migration (connection strings, linked servers, ODBC).</w:t>
      </w:r>
    </w:p>
    <w:p>
      <w:pPr>
        <w:pStyle w:val="ListNumber"/>
      </w:pPr>
      <w:r>
        <w:rPr>
          <w:sz w:val="22"/>
        </w:rPr>
        <w:t>Continuous-monitoring baseline and FedRAMP 20x KSI artifacts.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 xml:space="preserve">IA-2, IA-3, IA-5, IA-5(1), AC-2, AC-3, AC-17, AU-2, AU-12, CA-7, CM-2, CM-8, SC-8, SI-4. FedRAMP 20x KSIs: auth posture report, zero-NTLM count, Managed Identity coverage, Conditional Access compliance, </w:t>
      </w:r>
      <w:r>
        <w:rPr>
          <w:rFonts w:ascii="Consolas" w:hAnsi="Consolas"/>
          <w:sz w:val="22"/>
        </w:rPr>
        <w:t>sa</w:t>
      </w:r>
      <w:r>
        <w:rPr>
          <w:sz w:val="22"/>
        </w:rPr>
        <w:t xml:space="preserve"> status. BOD 25-01; OMB M-22-09.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pacing w:before="80" w:after="80"/>
      </w:pPr>
      <w:r>
        <w:rPr>
          <w:sz w:val="22"/>
        </w:rPr>
        <w:t>Book 01 (CA decisions for TLS migration), Books 02–03 (segmentation, SD-WAN traffic classes). AD, SQL Server administration, and Entra ID fundamentals.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 xml:space="preserve">Audit a lab instance with Event IDs 4624/4625 and </w:t>
      </w:r>
      <w:r>
        <w:rPr>
          <w:rFonts w:ascii="Consolas" w:hAnsi="Consolas"/>
          <w:sz w:val="22"/>
        </w:rPr>
        <w:t>setspn</w:t>
      </w:r>
      <w:r>
        <w:rPr>
          <w:sz w:val="22"/>
        </w:rPr>
        <w:t xml:space="preserve">; classify NTLM sources into the four patterns; fix a missing SPN and verify Kerberos with </w:t>
      </w:r>
      <w:r>
        <w:rPr>
          <w:rFonts w:ascii="Consolas" w:hAnsi="Consolas"/>
          <w:sz w:val="22"/>
        </w:rPr>
        <w:t>klist</w:t>
      </w:r>
      <w:r>
        <w:rPr>
          <w:sz w:val="22"/>
        </w:rPr>
        <w:t>.</w:t>
      </w:r>
    </w:p>
    <w:p>
      <w:pPr>
        <w:pStyle w:val="ListNumber"/>
      </w:pPr>
      <w:r>
        <w:rPr>
          <w:sz w:val="22"/>
        </w:rPr>
        <w:t>Full parallel-run login migration on a test instance, including disable/re-enable rollback and the migration log.</w:t>
      </w:r>
    </w:p>
    <w:p>
      <w:pPr>
        <w:pStyle w:val="ListNumber"/>
      </w:pPr>
      <w:r>
        <w:rPr>
          <w:sz w:val="22"/>
        </w:rPr>
        <w:t>Configure an Entra dynamic group plus a Conditional Access MFA policy; demonstrate blocked access from a non-compliant device.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Dropping a login before the 30-day observation — dependencies surface against production traffic, not documentation.</w:t>
      </w:r>
    </w:p>
    <w:p>
      <w:pPr>
        <w:pStyle w:val="ListBullet"/>
      </w:pPr>
      <w:r>
        <w:rPr>
          <w:sz w:val="22"/>
        </w:rPr>
        <w:t>gMSA or vault-managed service principals as "modernization" — both re-anchor to AD or preserve a bootstrap credential.</w:t>
      </w:r>
    </w:p>
    <w:p>
      <w:pPr>
        <w:pStyle w:val="ListBullet"/>
      </w:pPr>
      <w:r>
        <w:rPr>
          <w:sz w:val="22"/>
        </w:rPr>
        <w:t xml:space="preserve">Linked servers with </w:t>
      </w:r>
      <w:r>
        <w:rPr>
          <w:rFonts w:ascii="Consolas" w:hAnsi="Consolas"/>
          <w:sz w:val="22"/>
        </w:rPr>
        <w:t>SELF</w:t>
      </w:r>
      <w:r>
        <w:rPr>
          <w:sz w:val="22"/>
        </w:rPr>
        <w:t xml:space="preserve"> passthrough silently propagating NTLM.</w:t>
      </w:r>
    </w:p>
    <w:p>
      <w:pPr>
        <w:pStyle w:val="ListBullet"/>
      </w:pPr>
      <w:r>
        <w:rPr>
          <w:sz w:val="22"/>
        </w:rPr>
        <w:t xml:space="preserve">Leaving </w:t>
      </w:r>
      <w:r>
        <w:rPr>
          <w:rFonts w:ascii="Consolas" w:hAnsi="Consolas"/>
          <w:sz w:val="22"/>
        </w:rPr>
        <w:t>sa</w:t>
      </w:r>
      <w:r>
        <w:rPr>
          <w:sz w:val="22"/>
        </w:rPr>
        <w:t xml:space="preserve"> enabled, or assigning new applications to Class 4.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SC-300, DP-300.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03 · </w:t>
      </w:r>
      <w:r>
        <w:rPr>
          <w:b/>
          <w:sz w:val="22"/>
        </w:rPr>
        <w:t>Next:</w:t>
      </w:r>
      <w:r>
        <w:rPr>
          <w:sz w:val="22"/>
        </w:rPr>
        <w:t xml:space="preserve"> Book 05 — SQL Server Implementation Guide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