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16 — Authorization Package &amp; ConMon</w:t>
      </w:r>
    </w:p>
    <w:p>
      <w:r>
        <w:rPr>
          <w:i/>
          <w:color w:val="5A5A5A"/>
          <w:sz w:val="24"/>
        </w:rPr>
        <w:t>AAN module: the series capstone — OSCAL AP/AR/POA&amp;M bundle, the ConMon calendar, and the BOD 26-04 submission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Book_16 Authorization Package ConMon &lt;https://github.com/WhalerMike/uiao/blob/main/inbox/Application%20Aware%20Networking/Book_16_Federal_Application_Aware_Networking_Authorization_Package_ConMon.qmd&gt; · </w:t>
      </w:r>
      <w:r>
        <w:rPr>
          <w:b/>
          <w:sz w:val="22"/>
        </w:rPr>
        <w:t>Evidence slot:</w:t>
      </w:r>
      <w:r>
        <w:rPr>
          <w:sz w:val="22"/>
        </w:rPr>
        <w:t xml:space="preserve"> — (assembles all eight slots) · </w:t>
      </w:r>
      <w:r>
        <w:rPr>
          <w:b/>
          <w:sz w:val="22"/>
        </w:rPr>
        <w:t>Track modules:</w:t>
      </w:r>
      <w:r>
        <w:rPr>
          <w:sz w:val="22"/>
        </w:rPr>
        <w:t xml:space="preserve"> A0 context, B7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series capstone: assembles the evidence from Books 01–15 into the formal FedRAMP 20x authorization package — an OSCAL AP+AR+POA&amp;M bundle, the ConMon program that keeps evidence fresh post-ATO, and the BOD 26-04 VDR/VER submission due December 7, 2026. Thesis: </w:t>
      </w:r>
      <w:r>
        <w:rPr>
          <w:b/>
          <w:sz w:val="22"/>
        </w:rPr>
        <w:t>FedRAMP 20x replaces the 325-control audit with a KSI-evidence model, so authorization becomes a repeatable, machine-generated artifact sustained by cadenced monitoring</w:t>
      </w:r>
      <w:r>
        <w:rPr>
          <w:sz w:val="22"/>
        </w:rPr>
        <w:t xml:space="preserve"> rather than a one-time paperwork event.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Enumerate the FedRAMP 20x package components (OSCAL SSP/AP/AR/POA&amp;M, evidence books, VDR, training record) and their sources.</w:t>
      </w:r>
    </w:p>
    <w:p>
      <w:pPr>
        <w:pStyle w:val="ListBullet"/>
      </w:pPr>
      <w:r>
        <w:rPr>
          <w:sz w:val="22"/>
        </w:rPr>
        <w:t>Generate and validate the OSCAL 1.0.4 bundle and explain the AP→AR→POA&amp;M UUID linkage.</w:t>
      </w:r>
    </w:p>
    <w:p>
      <w:pPr>
        <w:pStyle w:val="ListBullet"/>
      </w:pPr>
      <w:r>
        <w:rPr>
          <w:sz w:val="22"/>
        </w:rPr>
        <w:t>Operate the CA-7 ConMon calendar across monthly, quarterly, semi-annual, and annual cadences.</w:t>
      </w:r>
    </w:p>
    <w:p>
      <w:pPr>
        <w:pStyle w:val="ListBullet"/>
      </w:pPr>
      <w:r>
        <w:rPr>
          <w:sz w:val="22"/>
        </w:rPr>
        <w:t>Run the BOD 26-04 pipeline (Syft → Grype → OpenVEX via vexctl) and submit VDR/VER to CISA per format and deadline.</w:t>
      </w:r>
    </w:p>
    <w:p>
      <w:pPr>
        <w:pStyle w:val="ListBullet"/>
      </w:pPr>
      <w:r>
        <w:rPr>
          <w:sz w:val="22"/>
        </w:rPr>
        <w:t>Apply the eight-slot evidence freshness rules and interpret the four Sentinel ConMon workbooks.</w:t>
      </w:r>
    </w:p>
    <w:p>
      <w:pPr>
        <w:pStyle w:val="ListBullet"/>
      </w:pPr>
      <w:r>
        <w:rPr>
          <w:sz w:val="22"/>
        </w:rPr>
        <w:t>Map OSCAL AR risk entries into the PM-9 risk register and name residual risks outside KSI scope.</w:t>
      </w:r>
    </w:p>
    <w:p>
      <w:pPr>
        <w:pStyle w:val="ListBullet"/>
      </w:pPr>
      <w:r>
        <w:rPr>
          <w:sz w:val="22"/>
        </w:rPr>
        <w:t>Execute the AO pre-submission checklist and day-of-submission procedure.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 xml:space="preserve">The OSCAL bundle: </w:t>
      </w:r>
      <w:r>
        <w:rPr>
          <w:rFonts w:ascii="Consolas" w:hAnsi="Consolas"/>
          <w:sz w:val="22"/>
        </w:rPr>
        <w:t>ksi-ap.json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ksi-ar.json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ksi-poam.json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artifact-index.json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The 29/29 KSI scorecard: 10 rules via the CISA ScuBA adapter (KSI-001..010), 19 via the AAN slot evaluator (KSI-011..029).</w:t>
      </w:r>
    </w:p>
    <w:p>
      <w:pPr>
        <w:pStyle w:val="ListBullet"/>
      </w:pPr>
      <w:r>
        <w:rPr>
          <w:sz w:val="22"/>
        </w:rPr>
        <w:t>Zero-item POA&amp;M as the correct target state, with automatic gap extraction populating entries when a verdict slips.</w:t>
      </w:r>
    </w:p>
    <w:p>
      <w:pPr>
        <w:pStyle w:val="ListBullet"/>
      </w:pPr>
      <w:r>
        <w:rPr>
          <w:sz w:val="22"/>
        </w:rPr>
        <w:t>Ten KSI themes mapped to the eight evidence slots.</w:t>
      </w:r>
    </w:p>
    <w:p>
      <w:pPr>
        <w:pStyle w:val="ListBullet"/>
      </w:pPr>
      <w:r>
        <w:rPr>
          <w:sz w:val="22"/>
        </w:rPr>
        <w:t>BOD 26-04 artifact chain: Syft CycloneDX 1.6 → Grype VDR → OpenVEX VER → CISA submission.</w:t>
      </w:r>
    </w:p>
    <w:p>
      <w:pPr>
        <w:pStyle w:val="ListBullet"/>
      </w:pPr>
      <w:r>
        <w:rPr>
          <w:sz w:val="22"/>
        </w:rPr>
        <w:t>Per-slot evidence freshness rules with named owners; four Sentinel ConMon workbooks (KSI Status, Control Drift, Vulnerability Backlog, Training Coverage).</w:t>
      </w:r>
    </w:p>
    <w:p>
      <w:pPr>
        <w:pStyle w:val="ListBullet"/>
      </w:pPr>
      <w:r>
        <w:rPr>
          <w:sz w:val="22"/>
        </w:rPr>
        <w:t>Authorization timeline: Class A Aug 3 / Class B+C Aug 31 2026; 20x mandatory Jan 1, 2027.</w:t>
      </w:r>
    </w:p>
    <w:p>
      <w:pPr>
        <w:pStyle w:val="Heading2"/>
      </w:pPr>
      <w:r>
        <w:rPr>
          <w:color w:val="0D1B2E"/>
        </w:rPr>
        <w:t>Deliverable sequence (artifact-shaped)</w:t>
      </w:r>
    </w:p>
    <w:p>
      <w:pPr>
        <w:pStyle w:val="ListNumber"/>
      </w:pPr>
      <w:r>
        <w:rPr>
          <w:sz w:val="22"/>
        </w:rPr>
        <w:t>Generate the OSCAL bundle; confirm 29/29 satisfied and a zero-item POA&amp;M; archive to history.</w:t>
      </w:r>
    </w:p>
    <w:p>
      <w:pPr>
        <w:pStyle w:val="ListNumber"/>
      </w:pPr>
      <w:r>
        <w:rPr>
          <w:sz w:val="22"/>
        </w:rPr>
        <w:t>Compile and upload the evidence books with a book→controls→KSI cross-reference index.</w:t>
      </w:r>
    </w:p>
    <w:p>
      <w:pPr>
        <w:pStyle w:val="ListNumber"/>
      </w:pPr>
      <w:r>
        <w:rPr>
          <w:sz w:val="22"/>
        </w:rPr>
        <w:t>Run the BOD 26-04 pipeline; draft VEX for CVSS ≥ 7.0; submit to CISA by December 7, 2026.</w:t>
      </w:r>
    </w:p>
    <w:p>
      <w:pPr>
        <w:pStyle w:val="ListNumber"/>
      </w:pPr>
      <w:r>
        <w:rPr>
          <w:sz w:val="22"/>
        </w:rPr>
        <w:t>Export and threshold-check the training-effectiveness-record (≥95%, six tiers, dates within 12 months).</w:t>
      </w:r>
    </w:p>
    <w:p>
      <w:pPr>
        <w:pStyle w:val="ListNumber"/>
      </w:pPr>
      <w:r>
        <w:rPr>
          <w:sz w:val="22"/>
        </w:rPr>
        <w:t>Stand up ConMon: Sentinel dashboard, monthly AR automation, quarterly review in the PM-14 plan, ISSO in the PM-2 RACI.</w:t>
      </w:r>
    </w:p>
    <w:p>
      <w:pPr>
        <w:pStyle w:val="ListNumber"/>
      </w:pPr>
      <w:r>
        <w:rPr>
          <w:sz w:val="22"/>
        </w:rPr>
        <w:t>Day of submission: final bundle, timestamped archive, structure validation, ZIP for the FedRAMP PMO.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 xml:space="preserve">CA-2, CA-5, CA-6, CA-7, CA-7(1), CA-7(3), RA-3, SA-15; SR-11 for BOD 26-04. Cadence tables also cite AT-2/AT-4, CP-2/CP-3, IR-2, RA-5, AC-6, AU-6, SI-4, SR-5/SR-6, PM-2/PM-9/PM-14. FedRAMP 20x: all 29 CR26 KSIs enumerated across the ten themes. </w:t>
      </w:r>
      <w:r>
        <w:rPr>
          <w:i/>
          <w:sz w:val="22"/>
        </w:rPr>
        <w:t>Editor's note: the manuscript's preface says "31 CR26 KSIs" while every other section says 29 — an internal inconsistency to fix in the source.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All of Books 01–15; leans specifically on Book 10 (Sentinel dashboard), Book 11 (CP tabletops), Book 12 (SBOM/VDR pipeline), Book 13 (PM-9 register, PM-14 plan), and Book 15 (training record).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Generate the OSCAL bundle, then trace the AP→AR→POA&amp;M UUID links and verify the 29 finding verdicts programmatically.</w:t>
      </w:r>
    </w:p>
    <w:p>
      <w:pPr>
        <w:pStyle w:val="ListNumber"/>
      </w:pPr>
      <w:r>
        <w:rPr>
          <w:sz w:val="22"/>
        </w:rPr>
        <w:t>Execute the full Syft → Grype → vexctl chain against a sample container and assemble a mock CISA VDR submission package.</w:t>
      </w:r>
    </w:p>
    <w:p>
      <w:pPr>
        <w:pStyle w:val="ListNumber"/>
      </w:pPr>
      <w:r>
        <w:rPr>
          <w:sz w:val="22"/>
        </w:rPr>
        <w:t>Simulate a training-completion drop below 95%, regenerate the bundle, and observe automatic POA&amp;M creation and the CA-7(3) trend signal.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Zero open KSI risks does not eliminate enterprise risk — mission, insider-threat, physical, and geopolitical supply-chain risks sit outside KSI scope.</w:t>
      </w:r>
    </w:p>
    <w:p>
      <w:pPr>
        <w:pStyle w:val="ListBullet"/>
      </w:pPr>
      <w:r>
        <w:rPr>
          <w:sz w:val="22"/>
        </w:rPr>
        <w:t>A downward trend in the satisfied count must trigger a POA&amp;M entry; stale AR history breaks the CA-7(3) early warning.</w:t>
      </w:r>
    </w:p>
    <w:p>
      <w:pPr>
        <w:pStyle w:val="ListBullet"/>
      </w:pPr>
      <w:r>
        <w:rPr>
          <w:sz w:val="22"/>
        </w:rPr>
        <w:t>Evidence goes stale silently — each slot has explicit freshness requirements (e.g., SBOM within 90 days at submission) that ConMon must enforce.</w:t>
      </w:r>
    </w:p>
    <w:p>
      <w:pPr>
        <w:pStyle w:val="ListBullet"/>
      </w:pPr>
      <w:r>
        <w:rPr>
          <w:sz w:val="22"/>
        </w:rPr>
        <w:t>The book's own closing disclaimer: control-closure claims are advisory pending formal FedRAMP PMO / AO review — the package is not an ATO.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FedRAMP PMO materials, ISC2 / ISACA (governance framing).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15 · </w:t>
      </w:r>
      <w:r>
        <w:rPr>
          <w:b/>
          <w:sz w:val="22"/>
        </w:rPr>
        <w:t>Back to:</w:t>
      </w:r>
      <w:r>
        <w:rPr>
          <w:sz w:val="22"/>
        </w:rPr>
        <w:t xml:space="preserve"> Program charter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