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AAN Lab Environments</w:t>
      </w:r>
    </w:p>
    <w:p>
      <w:r>
        <w:rPr>
          <w:i/>
          <w:color w:val="5A5A5A"/>
          <w:sz w:val="24"/>
        </w:rPr>
        <w:t>Scripted tenant and fixture setups for the Track B hands-on labs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 xml:space="preserve">Part of the AAN Training Program — </w:t>
      </w:r>
      <w:r>
        <w:rPr>
          <w:b/>
          <w:i/>
          <w:sz w:val="20"/>
        </w:rPr>
        <w:t>companion material for the federal AAN book series, not part of UIAO.</w:t>
      </w:r>
    </w:p>
    <w:p>
      <w:pPr>
        <w:spacing w:before="80" w:after="80"/>
      </w:pPr>
      <w:r>
        <w:rPr>
          <w:sz w:val="22"/>
        </w:rPr>
        <w:t xml:space="preserve">Each Track B module ends with labs; the pages below stand up the environments those labs need. Scripts are embedded in the pages (this repo's </w:t>
      </w:r>
      <w:r>
        <w:rPr>
          <w:rFonts w:ascii="Consolas" w:hAnsi="Consolas"/>
          <w:sz w:val="22"/>
        </w:rPr>
        <w:t>docs/</w:t>
      </w:r>
      <w:r>
        <w:rPr>
          <w:sz w:val="22"/>
        </w:rPr>
        <w:t xml:space="preserve"> tree is documentation-source only — copy the blocks into your own shell/tenant).</w:t>
      </w:r>
    </w:p>
    <w:p>
      <w:pPr>
        <w:pStyle w:val="Heading2"/>
      </w:pPr>
      <w:r>
        <w:rPr>
          <w:color w:val="0D1B2E"/>
        </w:rPr>
        <w:t>Lab tiers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What it needs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Use when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Tier F — fixture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Nothing but this repo and Python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 xml:space="preserve">You want the evidence-binding mechanics (slot YAML → </w:t>
            </w:r>
            <w:r>
              <w:rPr>
                <w:rFonts w:ascii="Consolas" w:hAnsi="Consolas"/>
                <w:sz w:val="18"/>
              </w:rPr>
              <w:t>uiao oscal ksi-ar</w:t>
            </w:r>
            <w:r>
              <w:rPr>
                <w:sz w:val="18"/>
              </w:rPr>
              <w:t>) without any cloud footprint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Tier T — trial tenant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 Microsoft 365 developer/trial tenant + Azure trial subscription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The PIM / Sentinel / Purview labs — full behavior, disposable blast radius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Tier P — product eval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 vendor eval (Infoblox/BlueCat) or containerized DNS/DHCP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The DDI lab's split-horizon and provisioning exercises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-fig-05-lab-t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1 — The three lab tiers and the four safety rules every lab starts from.</w:t>
      </w:r>
    </w:p>
    <w:p>
      <w:pPr>
        <w:pStyle w:val="Heading2"/>
      </w:pPr>
      <w:r>
        <w:rPr>
          <w:color w:val="0D1B2E"/>
        </w:rPr>
        <w:t>Safety rules (read before any lab)</w:t>
      </w:r>
    </w:p>
    <w:p>
      <w:pPr>
        <w:pStyle w:val="ListNumber"/>
      </w:pPr>
      <w:r>
        <w:rPr>
          <w:b/>
          <w:sz w:val="22"/>
        </w:rPr>
        <w:t>Never a production tenant.</w:t>
      </w:r>
      <w:r>
        <w:rPr>
          <w:sz w:val="22"/>
        </w:rPr>
        <w:t xml:space="preserve"> Every lab assumes a disposable tenant or subscription you can delete. PIM changes, CA policies, and DLP enforcement are exactly the things that lock organizations out.</w:t>
      </w:r>
    </w:p>
    <w:p>
      <w:pPr>
        <w:pStyle w:val="ListNumber"/>
      </w:pPr>
      <w:r>
        <w:rPr>
          <w:b/>
          <w:sz w:val="22"/>
        </w:rPr>
        <w:t>Report-only first.</w:t>
      </w:r>
      <w:r>
        <w:rPr>
          <w:sz w:val="22"/>
        </w:rPr>
        <w:t xml:space="preserve"> Where a lab creates a Conditional Access or DLP policy, it is created in report-only/simulation mode — the same discipline Books 07 and 09 mandate for production.</w:t>
      </w:r>
    </w:p>
    <w:p>
      <w:pPr>
        <w:pStyle w:val="ListNumber"/>
      </w:pPr>
      <w:r>
        <w:rPr>
          <w:b/>
          <w:sz w:val="22"/>
        </w:rPr>
        <w:t>Break-glass before lockdown.</w:t>
      </w:r>
      <w:r>
        <w:rPr>
          <w:sz w:val="22"/>
        </w:rPr>
        <w:t xml:space="preserve"> The PIM lab creates its excluded emergency account </w:t>
      </w:r>
      <w:r>
        <w:rPr>
          <w:i/>
          <w:sz w:val="22"/>
        </w:rPr>
        <w:t>first</w:t>
      </w:r>
      <w:r>
        <w:rPr>
          <w:sz w:val="22"/>
        </w:rPr>
        <w:t>, mirroring Book 07's ordering.</w:t>
      </w:r>
    </w:p>
    <w:p>
      <w:pPr>
        <w:pStyle w:val="ListNumber"/>
      </w:pPr>
      <w:r>
        <w:rPr>
          <w:b/>
          <w:sz w:val="22"/>
        </w:rPr>
        <w:t>Teardown is part of the lab.</w:t>
      </w:r>
      <w:r>
        <w:rPr>
          <w:sz w:val="22"/>
        </w:rPr>
        <w:t xml:space="preserve"> Each page ends with a teardown block; run it. Orphaned trial resources are how "labs" become shadow IT.</w:t>
      </w:r>
    </w:p>
    <w:p>
      <w:pPr>
        <w:pStyle w:val="Heading2"/>
      </w:pPr>
      <w:r>
        <w:rPr>
          <w:color w:val="0D1B2E"/>
        </w:rPr>
        <w:t>Cost notes</w:t>
      </w:r>
    </w:p>
    <w:p>
      <w:pPr>
        <w:pStyle w:val="ListBullet"/>
      </w:pPr>
      <w:r>
        <w:rPr>
          <w:sz w:val="22"/>
        </w:rPr>
        <w:t>M365 E5 developer/trial tenants cover Entra ID P2 (PIM), Purview, and Defender features for the trial window.</w:t>
      </w:r>
    </w:p>
    <w:p>
      <w:pPr>
        <w:pStyle w:val="ListBullet"/>
      </w:pPr>
      <w:r>
        <w:rPr>
          <w:sz w:val="22"/>
        </w:rPr>
        <w:t>Sentinel bills per GB ingested — the lab keeps ingestion in the free-tier range by using a single VM/forwarder and seeded events.</w:t>
      </w:r>
    </w:p>
    <w:p>
      <w:pPr>
        <w:pStyle w:val="ListBullet"/>
      </w:pPr>
      <w:r>
        <w:rPr>
          <w:sz w:val="22"/>
        </w:rPr>
        <w:t>Infoblox/BlueCat evals are vendor-arranged; the Tier-F fixture path needs no license.</w:t>
      </w:r>
    </w:p>
    <w:p>
      <w:pPr>
        <w:pStyle w:val="Heading2"/>
      </w:pPr>
      <w:r>
        <w:rPr>
          <w:color w:val="0D1B2E"/>
        </w:rPr>
        <w:t>Lab environment pages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Page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Module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Stack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Tier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DDI lab (Book 01)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Infoblox eval or BIND/Kea containers + IPAM fixture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 / F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PIM &amp; privileged access lab (Book 07)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Entra ID P2, Intune, Graph PowerShell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Sentinel detection lab (Books 08/10)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Log Analytics + Sentinel, one forwarder VM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Purview data-protection lab (Book 09)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Purview labels/DLP, Key Vault Premium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</w:t>
            </w:r>
          </w:p>
        </w:tc>
      </w:tr>
    </w:tbl>
    <w:p/>
    <w:p>
      <w:pPr>
        <w:spacing w:before="80" w:after="80"/>
      </w:pPr>
      <w:r>
        <w:rPr>
          <w:sz w:val="22"/>
        </w:rPr>
        <w:t>Modules B2 (SD-WAN/SASE), B6 (continuity/SBOM/governance), and B7 (authorize &amp; operate) intentionally have no tenant page yet: B2 needs vendor SD-WAN gear or eval licenses (track via the vendor catalog), while B6's and B7's labs are document- and CI-shaped (SBOM workflow on any repo, tabletop exercise, OSCAL bundle generation, training-record JSON validation) — they run anywhere, Tier F.</w:t>
      </w:r>
    </w:p>
    <w:p>
      <w:pPr>
        <w:pStyle w:val="Heading2"/>
      </w:pPr>
      <w:r>
        <w:rPr>
          <w:color w:val="0D1B2E"/>
        </w:rPr>
        <w:t>The common final step — bind the evidence</w:t>
      </w:r>
    </w:p>
    <w:p>
      <w:pPr>
        <w:spacing w:before="80" w:after="80"/>
      </w:pPr>
      <w:r>
        <w:rPr>
          <w:sz w:val="22"/>
        </w:rPr>
        <w:t>Every lab ends the same way, regardless of tier: place the produced artifact where a slot mapping can reference it, then regenerate verdicts: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uiao oscal ksi-ar --output exports/oscal/ksi-ar.json</w:t>
      </w:r>
    </w:p>
    <w:p>
      <w:pPr>
        <w:spacing w:before="80" w:after="80"/>
      </w:pPr>
      <w:r>
        <w:rPr>
          <w:sz w:val="22"/>
        </w:rPr>
        <w:t>The Track A rubrics score what you produce.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