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AAN Track A — Compliance</w:t>
      </w:r>
    </w:p>
    <w:p>
      <w:r>
        <w:rPr>
          <w:i/>
          <w:color w:val="5A5A5A"/>
          <w:sz w:val="24"/>
        </w:rPr>
        <w:t>The 17-book Federal AAN series as a FedRAMP 20x / NIST SP 800-53 Rev 5 compliance curriculum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</w:t>
      </w:r>
      <w:r>
        <w:rPr>
          <w:b/>
          <w:i/>
          <w:sz w:val="20"/>
        </w:rPr>
        <w:t>companion material for the federal AAN book series, not part of UIAO.</w:t>
      </w:r>
      <w:r>
        <w:rPr>
          <w:i/>
          <w:sz w:val="20"/>
        </w:rPr>
        <w:t xml:space="preserve"> UIAO tooling appears here only because its conformance adapter consumes the books' evidence.</w:t>
      </w:r>
    </w:p>
    <w:p>
      <w:pPr>
        <w:spacing w:before="80" w:after="80"/>
      </w:pPr>
      <w:r>
        <w:rPr>
          <w:b/>
          <w:sz w:val="22"/>
        </w:rPr>
        <w:t>Audience:</w:t>
      </w:r>
      <w:r>
        <w:rPr>
          <w:sz w:val="22"/>
        </w:rPr>
        <w:t xml:space="preserve"> ISSOs / ISSMs, 3PAO assessors, ConMon operators, compliance leads. </w:t>
      </w:r>
      <w:r>
        <w:rPr>
          <w:b/>
          <w:sz w:val="22"/>
        </w:rPr>
        <w:t>Prerequisite:</w:t>
      </w:r>
      <w:r>
        <w:rPr>
          <w:sz w:val="22"/>
        </w:rPr>
        <w:t xml:space="preserve"> none beyond orientation; product-level skills are optional here (they are Track B's job). </w:t>
      </w:r>
      <w:r>
        <w:rPr>
          <w:b/>
          <w:sz w:val="22"/>
        </w:rPr>
        <w:t>Backbone:</w:t>
      </w:r>
      <w:r>
        <w:rPr>
          <w:sz w:val="22"/>
        </w:rPr>
        <w:t xml:space="preserve"> the eight evidence-slot mappings in </w:t>
      </w:r>
      <w:r>
        <w:rPr>
          <w:rFonts w:ascii="Consolas" w:hAnsi="Consolas"/>
          <w:sz w:val="22"/>
        </w:rPr>
        <w:t>fedramp_aan_catalog/mappings/</w:t>
      </w:r>
      <w:r>
        <w:rPr>
          <w:sz w:val="22"/>
        </w:rPr>
        <w:t xml:space="preserve"> &lt;https://github.com/WhalerMike/uiao/tree/main/src/uiao/adapters/fedramp_aan_catalog/mappings&gt; — each module below is one slot, taught from the same YAML the conformance pipeline evaluates.</w:t>
      </w:r>
    </w:p>
    <w:p>
      <w:pPr>
        <w:pStyle w:val="Heading2"/>
      </w:pPr>
      <w:r>
        <w:rPr>
          <w:color w:val="0D1B2E"/>
        </w:rPr>
        <w:t>How to read this track</w:t>
      </w:r>
    </w:p>
    <w:p>
      <w:pPr>
        <w:spacing w:before="80" w:after="80"/>
      </w:pPr>
      <w:r>
        <w:rPr>
          <w:sz w:val="22"/>
        </w:rPr>
        <w:t>Each module gives you four things:</w:t>
      </w:r>
    </w:p>
    <w:p>
      <w:pPr>
        <w:pStyle w:val="ListNumber"/>
      </w:pPr>
      <w:r>
        <w:rPr>
          <w:b/>
          <w:sz w:val="22"/>
        </w:rPr>
        <w:t>Read</w:t>
      </w:r>
      <w:r>
        <w:rPr>
          <w:sz w:val="22"/>
        </w:rPr>
        <w:t xml:space="preserve"> — the AAN book(s) bound to the slot.</w:t>
      </w:r>
    </w:p>
    <w:p>
      <w:pPr>
        <w:pStyle w:val="ListNumber"/>
      </w:pPr>
      <w:r>
        <w:rPr>
          <w:b/>
          <w:sz w:val="22"/>
        </w:rPr>
        <w:t>Controls</w:t>
      </w:r>
      <w:r>
        <w:rPr>
          <w:sz w:val="22"/>
        </w:rPr>
        <w:t xml:space="preserve"> — the NIST SP 800-53 Rev 5 anchor controls the slot closes.</w:t>
      </w:r>
    </w:p>
    <w:p>
      <w:pPr>
        <w:pStyle w:val="ListNumber"/>
      </w:pPr>
      <w:r>
        <w:rPr>
          <w:b/>
          <w:sz w:val="22"/>
        </w:rPr>
        <w:t>Evaluate</w:t>
      </w:r>
      <w:r>
        <w:rPr>
          <w:sz w:val="22"/>
        </w:rPr>
        <w:t xml:space="preserve"> — the FedRAMP 20x KSI category that scores the closure.</w:t>
      </w:r>
    </w:p>
    <w:p>
      <w:pPr>
        <w:pStyle w:val="ListNumber"/>
      </w:pPr>
      <w:r>
        <w:rPr>
          <w:b/>
          <w:sz w:val="22"/>
        </w:rPr>
        <w:t>Checkpoint</w:t>
      </w:r>
      <w:r>
        <w:rPr>
          <w:sz w:val="22"/>
        </w:rPr>
        <w:t xml:space="preserve"> — a concrete artifact or CLI run proving you can trace book → control → KSI → evidence.</w:t>
      </w:r>
    </w:p>
    <w:p>
      <w:pPr>
        <w:spacing w:before="80" w:after="80"/>
      </w:pPr>
      <w:r>
        <w:rPr>
          <w:sz w:val="22"/>
        </w:rPr>
        <w:t>Run the pipeline pieces as you go: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Plane 2: evaluate an IR file against the KSI rules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uiao ksi evaluate --ir ./output/ir/tenant.ir.json --out ./output/ksi/tenant.ksi.json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Assessment Results from the AAN slot evidence bindings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(per-KSI satisfied / not-satisfied / not-evaluated verdicts)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uiao oscal ksi-ar --output exports/oscal/ksi-ar.json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POA&amp;M + SSP from an evidence bundle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uiao oscal generate --help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-fig-02-slot-book-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 — Track A at a glance: the books feeding each of the eight evidence slots, with KSI category and NIST anchor. The footer strip notes all-29-KSI evaluability and the Book 16 submission cadence.</w:t>
      </w:r>
    </w:p>
    <w:p>
      <w:pPr>
        <w:pStyle w:val="Heading2"/>
      </w:pPr>
      <w:r>
        <w:rPr>
          <w:color w:val="0D1B2E"/>
        </w:rPr>
        <w:t>Module A0 — Orientation: the compliance shape of the corpus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00 (Executive Summary) and the Federal AAN / ConMon Compliance Gap Roadmap &lt;https://github.com/WhalerMike/uiao/blob/main/inbox/Application%20Aware%20Networking/federal-aan-conmon-gap-roadmap.md&gt;.</w:t>
      </w:r>
    </w:p>
    <w:p>
      <w:pPr>
        <w:pStyle w:val="ListBullet"/>
      </w:pPr>
      <w:r>
        <w:rPr>
          <w:b/>
          <w:sz w:val="22"/>
        </w:rPr>
        <w:t>Learn:</w:t>
      </w:r>
      <w:r>
        <w:rPr>
          <w:sz w:val="22"/>
        </w:rPr>
        <w:t xml:space="preserve"> the FedRAMP 20x timeline (Class A window opened August 2026; 20x mandatory for new authorizations January 2027), the BOD 26-04 VDR/VER deadline (December 7, 2026), and the split between the </w:t>
      </w:r>
      <w:r>
        <w:rPr>
          <w:b/>
          <w:sz w:val="22"/>
        </w:rPr>
        <w:t>evidence generation layer</w:t>
      </w:r>
      <w:r>
        <w:rPr>
          <w:sz w:val="22"/>
        </w:rPr>
        <w:t xml:space="preserve"> (the books) and the </w:t>
      </w:r>
      <w:r>
        <w:rPr>
          <w:b/>
          <w:sz w:val="22"/>
        </w:rPr>
        <w:t>evidence governance layer</w:t>
      </w:r>
      <w:r>
        <w:rPr>
          <w:sz w:val="22"/>
        </w:rPr>
        <w:t xml:space="preserve"> (the conformance adapter / OSCAL emitter).</w:t>
      </w:r>
    </w:p>
    <w:p>
      <w:pPr>
        <w:pStyle w:val="ListBullet"/>
      </w:pPr>
      <w:r>
        <w:rPr>
          <w:b/>
          <w:sz w:val="22"/>
        </w:rPr>
        <w:t>Checkpoint:</w:t>
      </w:r>
      <w:r>
        <w:rPr>
          <w:sz w:val="22"/>
        </w:rPr>
        <w:t xml:space="preserve"> write a one-page brief stating which control families the corpus closes today, which were structurally absent until Books 12–15 (SR, PM, PT, AT), and how Book 16 assembles the AP/AR/POA&amp;M package now that all 29 CR26 KSIs are evaluable.</w:t>
      </w:r>
    </w:p>
    <w:p>
      <w:pPr>
        <w:pStyle w:val="Heading2"/>
      </w:pPr>
      <w:r>
        <w:rPr>
          <w:color w:val="0D1B2E"/>
        </w:rPr>
        <w:t>Module A1 — Identity control plane (slot 1)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03 (Entra ID, ZTNA, Active Governance), Book 04 (SQL Server Authentication Modernization), Book 07 (Privileged Access Management). Book 05 is the procedural companion to Book 04.</w:t>
      </w:r>
    </w:p>
    <w:p>
      <w:pPr>
        <w:pStyle w:val="ListBullet"/>
      </w:pPr>
      <w:r>
        <w:rPr>
          <w:b/>
          <w:sz w:val="22"/>
        </w:rPr>
        <w:t>Controls:</w:t>
      </w:r>
      <w:r>
        <w:rPr>
          <w:sz w:val="22"/>
        </w:rPr>
        <w:t xml:space="preserve"> IA-2 (+enhancements 1, 2, 11), IA-5, IA-11, AC-2 (+1), AC-3, AC-5, AC-6 family, AC-17, CA-7.</w:t>
      </w:r>
    </w:p>
    <w:p>
      <w:pPr>
        <w:pStyle w:val="ListBullet"/>
      </w:pPr>
      <w:r>
        <w:rPr>
          <w:b/>
          <w:sz w:val="22"/>
        </w:rPr>
        <w:t>Evaluate:</w:t>
      </w:r>
      <w:r>
        <w:rPr>
          <w:sz w:val="22"/>
        </w:rPr>
        <w:t xml:space="preserve"> </w:t>
      </w:r>
      <w:r>
        <w:rPr>
          <w:b/>
          <w:sz w:val="22"/>
        </w:rPr>
        <w:t>KSI-IAM</w:t>
      </w:r>
      <w:r>
        <w:rPr>
          <w:sz w:val="22"/>
        </w:rPr>
        <w:t xml:space="preserve"> — anchor </w:t>
      </w:r>
      <w:r>
        <w:rPr>
          <w:rFonts w:ascii="Consolas" w:hAnsi="Consolas"/>
          <w:sz w:val="22"/>
        </w:rPr>
        <w:t>IA-2 / AC-2</w:t>
      </w:r>
      <w:r>
        <w:rPr>
          <w:sz w:val="22"/>
        </w:rPr>
        <w:t>; evidence source: identity-provider sign-in and risk logs.</w:t>
      </w:r>
    </w:p>
    <w:p>
      <w:pPr>
        <w:pStyle w:val="ListBullet"/>
      </w:pPr>
      <w:r>
        <w:rPr>
          <w:b/>
          <w:sz w:val="22"/>
        </w:rPr>
        <w:t>Checkpoint:</w:t>
      </w:r>
      <w:r>
        <w:rPr>
          <w:sz w:val="22"/>
        </w:rPr>
        <w:t xml:space="preserve"> for one privileged role, trace the full chain: Book 07's PIM design → AC-6 enhancement it closes → KSI-IAM rule that scores it → the sign-in/audit log evidence the collector ingests.</w:t>
      </w:r>
    </w:p>
    <w:p>
      <w:pPr>
        <w:pStyle w:val="Heading2"/>
      </w:pPr>
      <w:r>
        <w:rPr>
          <w:color w:val="0D1B2E"/>
        </w:rPr>
        <w:t>Module A2 — Addressing control plane (slot 2)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01 (SSA Landing Zone, IPAM &amp; FedRAMP) — Infoblox DDI: IPAM, DNS, DHCP, PKI.</w:t>
      </w:r>
    </w:p>
    <w:p>
      <w:pPr>
        <w:pStyle w:val="ListBullet"/>
      </w:pPr>
      <w:r>
        <w:rPr>
          <w:b/>
          <w:sz w:val="22"/>
        </w:rPr>
        <w:t>Controls:</w:t>
      </w:r>
      <w:r>
        <w:rPr>
          <w:sz w:val="22"/>
        </w:rPr>
        <w:t xml:space="preserve"> CM-8, AC-4 anchors; Book 01 closes 16 controls per the gap roadmap.</w:t>
      </w:r>
    </w:p>
    <w:p>
      <w:pPr>
        <w:pStyle w:val="ListBullet"/>
      </w:pPr>
      <w:r>
        <w:rPr>
          <w:b/>
          <w:sz w:val="22"/>
        </w:rPr>
        <w:t>Evaluate:</w:t>
      </w:r>
      <w:r>
        <w:rPr>
          <w:sz w:val="22"/>
        </w:rPr>
        <w:t xml:space="preserve"> </w:t>
      </w:r>
      <w:r>
        <w:rPr>
          <w:b/>
          <w:sz w:val="22"/>
        </w:rPr>
        <w:t>KSI-PIY</w:t>
      </w:r>
      <w:r>
        <w:rPr>
          <w:sz w:val="22"/>
        </w:rPr>
        <w:t xml:space="preserve"> (addressing inventory evidence).</w:t>
      </w:r>
    </w:p>
    <w:p>
      <w:pPr>
        <w:pStyle w:val="ListBullet"/>
      </w:pPr>
      <w:r>
        <w:rPr>
          <w:b/>
          <w:sz w:val="22"/>
        </w:rPr>
        <w:t>Checkpoint:</w:t>
      </w:r>
      <w:r>
        <w:rPr>
          <w:sz w:val="22"/>
        </w:rPr>
        <w:t xml:space="preserve"> produce the address-inventory evidence statement: what the DDI platform attests (authoritative IPAM inventory), which CM-8 requirements that satisfies, and where the evidence lands in the slot-02 mapping.</w:t>
      </w:r>
    </w:p>
    <w:p>
      <w:pPr>
        <w:pStyle w:val="Heading2"/>
      </w:pPr>
      <w:r>
        <w:rPr>
          <w:color w:val="0D1B2E"/>
        </w:rPr>
        <w:t>Module A3 — Network control plane (slot 3)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02 (Network Modernization — SD-WAN, SASE, UC) and Book 06 (Database Consolidation &amp; Network Physics).</w:t>
      </w:r>
    </w:p>
    <w:p>
      <w:pPr>
        <w:pStyle w:val="ListBullet"/>
      </w:pPr>
      <w:r>
        <w:rPr>
          <w:b/>
          <w:sz w:val="22"/>
        </w:rPr>
        <w:t>Controls:</w:t>
      </w:r>
      <w:r>
        <w:rPr>
          <w:sz w:val="22"/>
        </w:rPr>
        <w:t xml:space="preserve"> SC-8, CA-7 anchors; SC/SI depth from Book 06.</w:t>
      </w:r>
    </w:p>
    <w:p>
      <w:pPr>
        <w:pStyle w:val="ListBullet"/>
      </w:pPr>
      <w:r>
        <w:rPr>
          <w:b/>
          <w:sz w:val="22"/>
        </w:rPr>
        <w:t>Evaluate:</w:t>
      </w:r>
      <w:r>
        <w:rPr>
          <w:sz w:val="22"/>
        </w:rPr>
        <w:t xml:space="preserve"> </w:t>
      </w:r>
      <w:r>
        <w:rPr>
          <w:b/>
          <w:sz w:val="22"/>
        </w:rPr>
        <w:t>KSI-CNA</w:t>
      </w:r>
      <w:r>
        <w:rPr>
          <w:sz w:val="22"/>
        </w:rPr>
        <w:t xml:space="preserve"> (network architecture evidence).</w:t>
      </w:r>
    </w:p>
    <w:p>
      <w:pPr>
        <w:pStyle w:val="ListBullet"/>
      </w:pPr>
      <w:r>
        <w:rPr>
          <w:b/>
          <w:sz w:val="22"/>
        </w:rPr>
        <w:t>Checkpoint:</w:t>
      </w:r>
      <w:r>
        <w:rPr>
          <w:sz w:val="22"/>
        </w:rPr>
        <w:t xml:space="preserve"> map one application-aware path policy (SD-WAN/SASE) to SC-8 transmission protection and show which continuous-monitoring signal (CA-7) proves it stays enforced.</w:t>
      </w:r>
    </w:p>
    <w:p>
      <w:pPr>
        <w:pStyle w:val="Heading2"/>
      </w:pPr>
      <w:r>
        <w:rPr>
          <w:color w:val="0D1B2E"/>
        </w:rPr>
        <w:t>Module A4 — Telemetry control plane (slot 4)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08 (Vulnerability Management — Defender VM + KEV), Book 09 (Data Protection — Purview + Key Vault CMK), Book 10 (SIEM / XDR Detection — Sentinel).</w:t>
      </w:r>
    </w:p>
    <w:p>
      <w:pPr>
        <w:pStyle w:val="ListBullet"/>
      </w:pPr>
      <w:r>
        <w:rPr>
          <w:b/>
          <w:sz w:val="22"/>
        </w:rPr>
        <w:t>Controls:</w:t>
      </w:r>
      <w:r>
        <w:rPr>
          <w:sz w:val="22"/>
        </w:rPr>
        <w:t xml:space="preserve"> CA-7, SI-4 anchors; RA-5 family, SI-2, AU-6/7/8/11, IR-4/6/8.</w:t>
      </w:r>
    </w:p>
    <w:p>
      <w:pPr>
        <w:pStyle w:val="ListBullet"/>
      </w:pPr>
      <w:r>
        <w:rPr>
          <w:b/>
          <w:sz w:val="22"/>
        </w:rPr>
        <w:t>Evaluate:</w:t>
      </w:r>
      <w:r>
        <w:rPr>
          <w:sz w:val="22"/>
        </w:rPr>
        <w:t xml:space="preserve"> </w:t>
      </w:r>
      <w:r>
        <w:rPr>
          <w:b/>
          <w:sz w:val="22"/>
        </w:rPr>
        <w:t>KSI-MLA</w:t>
      </w:r>
      <w:r>
        <w:rPr>
          <w:sz w:val="22"/>
        </w:rPr>
        <w:t xml:space="preserve"> (monitoring / logging / audit evidence).</w:t>
      </w:r>
    </w:p>
    <w:p>
      <w:pPr>
        <w:pStyle w:val="ListBullet"/>
      </w:pPr>
      <w:r>
        <w:rPr>
          <w:b/>
          <w:sz w:val="22"/>
        </w:rPr>
        <w:t>Checkpoint:</w:t>
      </w:r>
      <w:r>
        <w:rPr>
          <w:sz w:val="22"/>
        </w:rPr>
        <w:t xml:space="preserve"> pick one KEV-listed CVE scenario and trace: Defender VM finding (Book 08) → Sentinel analytic + incident (Book 10) → the SI-4 / RA-5 closure statement, with the audit-retention argument from AU-11.</w:t>
      </w:r>
    </w:p>
    <w:p>
      <w:pPr>
        <w:pStyle w:val="Heading2"/>
      </w:pPr>
      <w:r>
        <w:rPr>
          <w:color w:val="0D1B2E"/>
        </w:rPr>
        <w:t>Module A5 — Endpoint control plane (slot 5)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07 (PAW sections), Book 08 (endpoint assessment surface), Book 14 (PII Processing &amp; Transparency).</w:t>
      </w:r>
    </w:p>
    <w:p>
      <w:pPr>
        <w:pStyle w:val="ListBullet"/>
      </w:pPr>
      <w:r>
        <w:rPr>
          <w:b/>
          <w:sz w:val="22"/>
        </w:rPr>
        <w:t>Controls:</w:t>
      </w:r>
      <w:r>
        <w:rPr>
          <w:sz w:val="22"/>
        </w:rPr>
        <w:t xml:space="preserve"> CM-8, IA-3 anchors; PT family entry points from Book 14.</w:t>
      </w:r>
    </w:p>
    <w:p>
      <w:pPr>
        <w:pStyle w:val="ListBullet"/>
      </w:pPr>
      <w:r>
        <w:rPr>
          <w:b/>
          <w:sz w:val="22"/>
        </w:rPr>
        <w:t>Evaluate:</w:t>
      </w:r>
      <w:r>
        <w:rPr>
          <w:sz w:val="22"/>
        </w:rPr>
        <w:t xml:space="preserve"> </w:t>
      </w:r>
      <w:r>
        <w:rPr>
          <w:b/>
          <w:sz w:val="22"/>
        </w:rPr>
        <w:t>KSI-PIY</w:t>
      </w:r>
      <w:r>
        <w:rPr>
          <w:sz w:val="22"/>
        </w:rPr>
        <w:t xml:space="preserve"> (endpoint inventory evidence).</w:t>
      </w:r>
    </w:p>
    <w:p>
      <w:pPr>
        <w:pStyle w:val="ListBullet"/>
      </w:pPr>
      <w:r>
        <w:rPr>
          <w:b/>
          <w:sz w:val="22"/>
        </w:rPr>
        <w:t>Checkpoint:</w:t>
      </w:r>
      <w:r>
        <w:rPr>
          <w:sz w:val="22"/>
        </w:rPr>
        <w:t xml:space="preserve"> write the endpoint-inventory evidence statement covering device identity (IA-3), inventory completeness (CM-8), and where PII-handling endpoints get the Book 14 transparency treatment.</w:t>
      </w:r>
    </w:p>
    <w:p>
      <w:pPr>
        <w:pStyle w:val="Heading2"/>
      </w:pPr>
      <w:r>
        <w:rPr>
          <w:color w:val="0D1B2E"/>
        </w:rPr>
        <w:t>Module A6 — Security configuration &amp; change control plane (slot 6)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08 (secure configuration surface), Book 10 (detection as change evidence), Book 12 (Supply Chain Risk Management), Book 13 (Program Management &amp; Governance).</w:t>
      </w:r>
    </w:p>
    <w:p>
      <w:pPr>
        <w:pStyle w:val="ListBullet"/>
      </w:pPr>
      <w:r>
        <w:rPr>
          <w:b/>
          <w:sz w:val="22"/>
        </w:rPr>
        <w:t>Controls:</w:t>
      </w:r>
      <w:r>
        <w:rPr>
          <w:sz w:val="22"/>
        </w:rPr>
        <w:t xml:space="preserve"> CM-2, AC-4 anchors; SR-1/2/3/5/6/8/10/11 from Book 12; PM family from Book 13.</w:t>
      </w:r>
    </w:p>
    <w:p>
      <w:pPr>
        <w:pStyle w:val="ListBullet"/>
      </w:pPr>
      <w:r>
        <w:rPr>
          <w:b/>
          <w:sz w:val="22"/>
        </w:rPr>
        <w:t>Evaluate:</w:t>
      </w:r>
      <w:r>
        <w:rPr>
          <w:sz w:val="22"/>
        </w:rPr>
        <w:t xml:space="preserve"> </w:t>
      </w:r>
      <w:r>
        <w:rPr>
          <w:b/>
          <w:sz w:val="22"/>
        </w:rPr>
        <w:t>KSI-CMT</w:t>
      </w:r>
      <w:r>
        <w:rPr>
          <w:sz w:val="22"/>
        </w:rPr>
        <w:t xml:space="preserve"> (configuration / change-management evidence); KSI-011–014 were activated by the Book 12 SBOM/VDR/VER evidence contract — the BOD 26-04 submission (December 7, 2026) remains the operational cadence Book 16 runs.</w:t>
      </w:r>
    </w:p>
    <w:p>
      <w:pPr>
        <w:pStyle w:val="ListBullet"/>
      </w:pPr>
      <w:r>
        <w:rPr>
          <w:b/>
          <w:sz w:val="22"/>
        </w:rPr>
        <w:t>Checkpoint:</w:t>
      </w:r>
      <w:r>
        <w:rPr>
          <w:sz w:val="22"/>
        </w:rPr>
        <w:t xml:space="preserve"> state the BOD 26-04 submission story: which SBOM artifacts Book 12 requires, which KSI rules they activated, and how the Book 16 ConMon calendar keeps that evidence fresh.</w:t>
      </w:r>
    </w:p>
    <w:p>
      <w:pPr>
        <w:pStyle w:val="Heading2"/>
      </w:pPr>
      <w:r>
        <w:rPr>
          <w:color w:val="0D1B2E"/>
        </w:rPr>
        <w:t>Module A7 — Continuity control plane (slot 7)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11 (Business Continuity).</w:t>
      </w:r>
    </w:p>
    <w:p>
      <w:pPr>
        <w:pStyle w:val="ListBullet"/>
      </w:pPr>
      <w:r>
        <w:rPr>
          <w:b/>
          <w:sz w:val="22"/>
        </w:rPr>
        <w:t>Controls:</w:t>
      </w:r>
      <w:r>
        <w:rPr>
          <w:sz w:val="22"/>
        </w:rPr>
        <w:t xml:space="preserve"> CP-2 (+3 enhancements), CP-3, CP-4 (+2), CP-6, CP-7 (+3), CP-8 (+2).</w:t>
      </w:r>
    </w:p>
    <w:p>
      <w:pPr>
        <w:pStyle w:val="ListBullet"/>
      </w:pPr>
      <w:r>
        <w:rPr>
          <w:b/>
          <w:sz w:val="22"/>
        </w:rPr>
        <w:t>Evaluate:</w:t>
      </w:r>
      <w:r>
        <w:rPr>
          <w:sz w:val="22"/>
        </w:rPr>
        <w:t xml:space="preserve"> </w:t>
      </w:r>
      <w:r>
        <w:rPr>
          <w:b/>
          <w:sz w:val="22"/>
        </w:rPr>
        <w:t>KSI-RPL</w:t>
      </w:r>
      <w:r>
        <w:rPr>
          <w:sz w:val="22"/>
        </w:rPr>
        <w:t xml:space="preserve"> (recovery / resilience evidence).</w:t>
      </w:r>
    </w:p>
    <w:p>
      <w:pPr>
        <w:pStyle w:val="ListBullet"/>
      </w:pPr>
      <w:r>
        <w:rPr>
          <w:b/>
          <w:sz w:val="22"/>
        </w:rPr>
        <w:t>Checkpoint:</w:t>
      </w:r>
      <w:r>
        <w:rPr>
          <w:sz w:val="22"/>
        </w:rPr>
        <w:t xml:space="preserve"> map one contingency-test exercise to CP-4 and show the slot-07 continuity binding that carries it into the KSI evaluation.</w:t>
      </w:r>
    </w:p>
    <w:p>
      <w:pPr>
        <w:pStyle w:val="Heading2"/>
      </w:pPr>
      <w:r>
        <w:rPr>
          <w:color w:val="0D1B2E"/>
        </w:rPr>
        <w:t>Module A8 — Training control plane (slot 8)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15 (Cybersecurity Training &amp; Awareness). Book 16's freshness rules and ConMon calendar are the operating context.</w:t>
      </w:r>
    </w:p>
    <w:p>
      <w:pPr>
        <w:pStyle w:val="ListBullet"/>
      </w:pPr>
      <w:r>
        <w:rPr>
          <w:b/>
          <w:sz w:val="22"/>
        </w:rPr>
        <w:t>Controls:</w:t>
      </w:r>
      <w:r>
        <w:rPr>
          <w:sz w:val="22"/>
        </w:rPr>
        <w:t xml:space="preserve"> AT-2 (+1, +2), AT-3 (+3, +5), AT-4, CP-3, IR-2; SA-16 for secure-delivery training.</w:t>
      </w:r>
    </w:p>
    <w:p>
      <w:pPr>
        <w:pStyle w:val="ListBullet"/>
      </w:pPr>
      <w:r>
        <w:rPr>
          <w:b/>
          <w:sz w:val="22"/>
        </w:rPr>
        <w:t>Evaluate:</w:t>
      </w:r>
      <w:r>
        <w:rPr>
          <w:sz w:val="22"/>
        </w:rPr>
        <w:t xml:space="preserve"> </w:t>
      </w:r>
      <w:r>
        <w:rPr>
          <w:b/>
          <w:sz w:val="22"/>
        </w:rPr>
        <w:t>KSI-CED</w:t>
      </w:r>
      <w:r>
        <w:rPr>
          <w:sz w:val="22"/>
        </w:rPr>
        <w:t xml:space="preserve"> — KSI-CED-RAT (KSI-022), the last CR26 rule to activate; evidence source: the machine-readable </w:t>
      </w:r>
      <w:r>
        <w:rPr>
          <w:rFonts w:ascii="Consolas" w:hAnsi="Consolas"/>
          <w:sz w:val="22"/>
        </w:rPr>
        <w:t>training-effectiveness-record</w:t>
      </w:r>
      <w:r>
        <w:rPr>
          <w:sz w:val="22"/>
        </w:rPr>
        <w:t xml:space="preserve"> JSON exported monthly from the LMS.</w:t>
      </w:r>
    </w:p>
    <w:p>
      <w:pPr>
        <w:pStyle w:val="ListBullet"/>
      </w:pPr>
      <w:r>
        <w:rPr>
          <w:b/>
          <w:sz w:val="22"/>
        </w:rPr>
        <w:t>Checkpoint:</w:t>
      </w:r>
      <w:r>
        <w:rPr>
          <w:sz w:val="22"/>
        </w:rPr>
        <w:t xml:space="preserve"> trace one role tier through the four training dimensions: the AT-3 matrix row → the completion thresholds (≥95%) → the JSON record fields that carry it → the KSI-022 PASS logic.</w:t>
      </w:r>
    </w:p>
    <w:p>
      <w:pPr>
        <w:pStyle w:val="Heading2"/>
      </w:pPr>
      <w:r>
        <w:rPr>
          <w:color w:val="0D1B2E"/>
        </w:rPr>
        <w:t>Capstone — the eight-slot walk</w:t>
      </w:r>
    </w:p>
    <w:p>
      <w:pPr>
        <w:spacing w:before="80" w:after="80"/>
      </w:pPr>
      <w:r>
        <w:rPr>
          <w:sz w:val="22"/>
        </w:rPr>
        <w:t xml:space="preserve">Produce a single document (or an annotated </w:t>
      </w:r>
      <w:r>
        <w:rPr>
          <w:rFonts w:ascii="Consolas" w:hAnsi="Consolas"/>
          <w:sz w:val="22"/>
        </w:rPr>
        <w:t>uiao oscal ksi-ar</w:t>
      </w:r>
      <w:r>
        <w:rPr>
          <w:sz w:val="22"/>
        </w:rPr>
        <w:t xml:space="preserve"> export) that, for </w:t>
      </w:r>
      <w:r>
        <w:rPr>
          <w:b/>
          <w:sz w:val="22"/>
        </w:rPr>
        <w:t>all eight slots</w:t>
      </w:r>
      <w:r>
        <w:rPr>
          <w:sz w:val="22"/>
        </w:rPr>
        <w:t>:</w:t>
      </w:r>
    </w:p>
    <w:p>
      <w:pPr>
        <w:pStyle w:val="ListNumber"/>
      </w:pPr>
      <w:r>
        <w:rPr>
          <w:sz w:val="22"/>
        </w:rPr>
        <w:t>names the feeding books,</w:t>
      </w:r>
    </w:p>
    <w:p>
      <w:pPr>
        <w:pStyle w:val="ListNumber"/>
      </w:pPr>
      <w:r>
        <w:rPr>
          <w:sz w:val="22"/>
        </w:rPr>
        <w:t>lists the anchor controls and the closure status,</w:t>
      </w:r>
    </w:p>
    <w:p>
      <w:pPr>
        <w:pStyle w:val="ListNumber"/>
      </w:pPr>
      <w:r>
        <w:rPr>
          <w:sz w:val="22"/>
        </w:rPr>
        <w:t xml:space="preserve">shows the per-KSI verdict (satisfied / not-satisfied / not-evaluated) from a real </w:t>
      </w:r>
      <w:r>
        <w:rPr>
          <w:rFonts w:ascii="Consolas" w:hAnsi="Consolas"/>
          <w:sz w:val="22"/>
        </w:rPr>
        <w:t>uiao oscal ksi-ar</w:t>
      </w:r>
      <w:r>
        <w:rPr>
          <w:sz w:val="22"/>
        </w:rPr>
        <w:t xml:space="preserve"> run, and</w:t>
      </w:r>
    </w:p>
    <w:p>
      <w:pPr>
        <w:pStyle w:val="ListNumber"/>
      </w:pPr>
      <w:r>
        <w:rPr>
          <w:sz w:val="22"/>
        </w:rPr>
        <w:t>states the gap and its deadline for anything not-evaluated or stale (Book 16 defines per-slot evidence freshness rules).</w:t>
      </w:r>
    </w:p>
    <w:p>
      <w:pPr>
        <w:spacing w:before="80" w:after="80"/>
      </w:pPr>
      <w:r>
        <w:rPr>
          <w:sz w:val="22"/>
        </w:rPr>
        <w:t>That document is the Track A completion artifact — it is, deliberately, the skeleton of a ConMon narrative an assessor could read. Score it against the assessment rubrics: pass = every slot at level 2+, at least three slots assessor-ready (level 3).</w:t>
      </w:r>
    </w:p>
    <w:p>
      <w:pPr>
        <w:pStyle w:val="Heading2"/>
      </w:pPr>
      <w:r>
        <w:rPr>
          <w:color w:val="0D1B2E"/>
        </w:rPr>
        <w:t>Where to go deeper</w:t>
      </w:r>
    </w:p>
    <w:p>
      <w:pPr>
        <w:pStyle w:val="ListBullet"/>
      </w:pPr>
      <w:r>
        <w:rPr>
          <w:sz w:val="22"/>
        </w:rPr>
        <w:t xml:space="preserve">Product-level skills for the evidence sources (Entra, Sentinel, Purview, Defender, Infoblox): Vendor training catalog — see the </w:t>
      </w:r>
      <w:r>
        <w:rPr>
          <w:i/>
          <w:sz w:val="22"/>
        </w:rPr>
        <w:t>Federal &amp; compliance</w:t>
      </w:r>
      <w:r>
        <w:rPr>
          <w:sz w:val="22"/>
        </w:rPr>
        <w:t xml:space="preserve"> section for CISA Learning, FedRAMP PMO resources, and NIST NICE.</w:t>
      </w:r>
    </w:p>
    <w:p>
      <w:pPr>
        <w:pStyle w:val="ListBullet"/>
      </w:pPr>
      <w:r>
        <w:rPr>
          <w:sz w:val="22"/>
        </w:rPr>
        <w:t>The engineering counterpart of every module here: Track B —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