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Track B — Implementation</w:t>
      </w:r>
    </w:p>
    <w:p>
      <w:r>
        <w:rPr>
          <w:i/>
          <w:color w:val="5A5A5A"/>
          <w:sz w:val="24"/>
        </w:rPr>
        <w:t>Building the architectures the 15 AAN books describe, and producing the evidence Track A consumes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network, platform, database, identity, and security engineers. </w:t>
      </w:r>
      <w:r>
        <w:rPr>
          <w:b/>
          <w:sz w:val="22"/>
        </w:rPr>
        <w:t>Prerequisite:</w:t>
      </w:r>
      <w:r>
        <w:rPr>
          <w:sz w:val="22"/>
        </w:rPr>
        <w:t xml:space="preserve"> Module A0 (orientation) from the compliance track — you need the FedRAMP 20x timeline and the evidence-slot model in your head before you build, because every build here ends by </w:t>
      </w:r>
      <w:r>
        <w:rPr>
          <w:b/>
          <w:sz w:val="22"/>
        </w:rPr>
        <w:t>landing evidence</w:t>
      </w:r>
      <w:r>
        <w:rPr>
          <w:sz w:val="22"/>
        </w:rPr>
        <w:t xml:space="preserve">, not just by working. </w:t>
      </w:r>
      <w:r>
        <w:rPr>
          <w:b/>
          <w:sz w:val="22"/>
        </w:rPr>
        <w:t>Companion:</w:t>
      </w:r>
      <w:r>
        <w:rPr>
          <w:sz w:val="22"/>
        </w:rPr>
        <w:t xml:space="preserve"> each module lists the matching external courses from the vendor training catalog, and the lab environments hub provides scripted setups (fixture, trial-tenant, and product-eval tiers) for the labs below.</w:t>
      </w:r>
    </w:p>
    <w:p>
      <w:pPr>
        <w:pStyle w:val="Heading2"/>
      </w:pPr>
      <w:r>
        <w:rPr>
          <w:color w:val="0D1B2E"/>
        </w:rPr>
        <w:t>The rule of this track</w:t>
      </w:r>
    </w:p>
    <w:p>
      <w:pPr>
        <w:ind w:left="432"/>
        <w:shd w:val="clear" w:fill="F7F9FC"/>
      </w:pPr>
      <w:r>
        <w:rPr>
          <w:i/>
          <w:sz w:val="20"/>
        </w:rPr>
        <w:t xml:space="preserve">A module is done when the thing works </w:t>
      </w:r>
      <w:r>
        <w:rPr>
          <w:b/>
          <w:i/>
          <w:sz w:val="20"/>
        </w:rPr>
        <w:t>and</w:t>
      </w:r>
      <w:r>
        <w:rPr>
          <w:i/>
          <w:sz w:val="20"/>
        </w:rPr>
        <w:t xml:space="preserve"> the conformance adapter can see it. Every lab ends with an evidence artifact in a place the </w:t>
      </w:r>
      <w:r>
        <w:rPr>
          <w:rFonts w:ascii="Consolas" w:hAnsi="Consolas"/>
          <w:i/>
          <w:sz w:val="20"/>
        </w:rPr>
        <w:t>fedramp_aan_catalog</w:t>
      </w:r>
      <w:r>
        <w:rPr>
          <w:i/>
          <w:sz w:val="20"/>
        </w:rPr>
        <w:t xml:space="preserve"> &lt;https://github.com/WhalerMike/uiao/tree/main/src/uiao/adapters/fedramp_aan_catalog&gt; slot mappings can bind.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3-module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B sequencing: B1 → B2 → B3 is a real dependency chain; B4–B6 run in parallel after B2; B7 (authorize &amp; operate, Books 15–16) caps the track.</w:t>
      </w:r>
    </w:p>
    <w:p>
      <w:pPr>
        <w:pStyle w:val="Heading2"/>
      </w:pPr>
      <w:r>
        <w:rPr>
          <w:color w:val="0D1B2E"/>
        </w:rPr>
        <w:t>Module B1 — Landing zone, IPAM &amp; DDI (Book 01)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DDI core — authoritative IPAM, DNS, DHCP, and PKI issuance for the landing zone. The reference stack is Infoblox; the UIAO modernization adapters for BlueCat &lt;https://github.com/WhalerMike/uiao/tree/main/src/uiao/adapters&gt; and Infoblox cover directory migration into it.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stand up (or simulate with fixtures) an IPAM inventory export and bind it as slot-02 addressing evidence — setup: DDI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Infoblox education, BlueCat learning, Microsoft AZ-700 (Azure networking for the landing-zone side) — see catalog §Networking &amp; DDI.</w:t>
      </w:r>
    </w:p>
    <w:p>
      <w:pPr>
        <w:pStyle w:val="Heading2"/>
      </w:pPr>
      <w:r>
        <w:rPr>
          <w:color w:val="0D1B2E"/>
        </w:rPr>
        <w:t>Module B2 — Network &amp; telecommunications modernization (Books 02–03)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(SD-WAN, SASE, unified communications — Teams Phone, Amazon Connect) and Book 03 (Entra ID, ZTNA, active governance).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application-aware transport — SD-WAN path policy keyed to application identity, SASE enforcement, ZTNA in front of legacy telecom patterns.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author one application-aware path policy and one ZTNA access policy; export the policy state and bind it as slot-03 network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Cisco U / Networking Academy (SD-WAN), Microsoft SC-300 (Entra), AWS Skill Builder (Amazon Connect), Fortinet / Palo Alto (SASE) — see catalog §Networking &amp; DDI and §Identity &amp; zero trust.</w:t>
      </w:r>
    </w:p>
    <w:p>
      <w:pPr>
        <w:pStyle w:val="Heading2"/>
      </w:pPr>
      <w:r>
        <w:rPr>
          <w:color w:val="0D1B2E"/>
        </w:rPr>
        <w:t>Module B3 — Data platform modernization (Books 04–06)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04 (SQL Server Authentication Modernization), Book 05 (SQL Server Implementation Guide — the runbook), Book 06 (Database Consolidation &amp; Network Physics).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Entra-integrated SQL Server authentication (no SQL logins), then the consolidation architecture Book 06 derives from network physics (latency budgets, placement, failure domains).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execute the Book 05 runbook against a lab instance; capture the authentication-mode evidence and bind it as slot-01 identity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DP-300, SQL Server security learning paths — see catalog §Data platform.</w:t>
      </w:r>
    </w:p>
    <w:p>
      <w:pPr>
        <w:pStyle w:val="Heading2"/>
      </w:pPr>
      <w:r>
        <w:rPr>
          <w:color w:val="0D1B2E"/>
        </w:rPr>
        <w:t>Module B4 — Privileged access (Book 07)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(Privileged Access Management — Entra PIM + PAW).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role-activation workflows in PIM (eligibility, activation, approval, review) and the privileged-access-workstation tier model.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configure one eligible role with activation approval + access review; export the PIM audit trail and bind it as slot-01/slot-05 evidence — setup: PIM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SC-300, AZ-500; SANS privileged-access coursework — see catalog §Identity &amp; zero trust.</w:t>
      </w:r>
    </w:p>
    <w:p>
      <w:pPr>
        <w:pStyle w:val="Heading2"/>
      </w:pPr>
      <w:r>
        <w:rPr>
          <w:color w:val="0D1B2E"/>
        </w:rPr>
        <w:t>Module B5 — Detect &amp; protect (Books 08–10)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telemetry spine — Defender VM assessment with KEV prioritization; Purview sensitivity labeling + customer-managed keys; Sentinel analytics rules, incidents, and automation.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one end-to-end detection: seed a vulnerable/exposed condition, watch it surface in Defender VM, alert in Sentinel, and close with an evidence export bound to slot-04 telemetry (and slot-06 for the configuration-drift angle) — setups: Sentinel lab and Purview lab.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SC-200 (Sentinel/Defender), SC-401 (Purview/information security), Splunk &amp; Elastic for portable SIEM fundamentals — see catalog §Security operations.</w:t>
      </w:r>
    </w:p>
    <w:p>
      <w:pPr>
        <w:pStyle w:val="Heading2"/>
      </w:pPr>
      <w:r>
        <w:rPr>
          <w:color w:val="0D1B2E"/>
        </w:rPr>
        <w:t>Module B6 — Resilience &amp; governance (Books 11–14)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Continuity), Book 12 (Supply Chain Risk Management), Book 13 (Program Management &amp; Governance), Book 14 (PII Processing &amp; Transparency).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contingency architecture (alternate processing/storage, CP-4 test harness); the SBOM pipeline (Syft/Trivy-class generation, CycloneDX/SPDX VDR, VER submission flow for BOD 26-04); the PM governance charter artifacts; PII processing-transparency records.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generate an SBOM for a real service, produce the VDR document, and bind it as slot-06 evidence; run one tabletop contingency test and bind the results as slot-07 continuity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CISA Learning (incident/continuity), FedRAMP PMO materials (20x submission), OWASP/Linux Foundation SBOM resources — see catalog §Federal &amp; compliance.</w:t>
      </w:r>
    </w:p>
    <w:p>
      <w:pPr>
        <w:pStyle w:val="Heading2"/>
      </w:pPr>
      <w:r>
        <w:rPr>
          <w:color w:val="0D1B2E"/>
        </w:rPr>
        <w:t>Module B7 — Authorize &amp; operate (Books 15–16)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15 (Cybersecurity Training &amp; Awareness) and Book 16 (Authorization Package &amp; ConMon).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four-dimension training program with its monthly LMS export (Viva Learning Graph API →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JSON), then the authorization mechanics: the OSCAL AP/AR/POA&amp;M bundle, the CA-7 ConMon calendar with per-slot evidence freshness rules, and the BOD 26-04 VDR/VER submission flow.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produce a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JSON that passes the KSI-022 thresholds and bind it as slot-08 evidence; then run </w:t>
      </w:r>
      <w:r>
        <w:rPr>
          <w:rFonts w:ascii="Consolas" w:hAnsi="Consolas"/>
          <w:sz w:val="22"/>
        </w:rPr>
        <w:t>uiao oscal bundle</w:t>
      </w:r>
      <w:r>
        <w:rPr>
          <w:sz w:val="22"/>
        </w:rPr>
        <w:t>-style generation, trace the AP→AR→POA&amp;M UUID links, and simulate a completion-rate drop below 95% to watch the POA&amp;M entry auto-populate.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CISA Learning and SANS (awareness program design), FedRAMP PMO materials (20x submission), NIST NICE (role mapping) — see catalog §Federal &amp; compliance.</w:t>
      </w:r>
    </w:p>
    <w:p>
      <w:pPr>
        <w:pStyle w:val="Heading2"/>
      </w:pPr>
      <w:r>
        <w:rPr>
          <w:color w:val="0D1B2E"/>
        </w:rPr>
        <w:t>Capstone — one module, evidence-complete</w:t>
      </w:r>
    </w:p>
    <w:p>
      <w:pPr>
        <w:spacing w:before="80" w:after="80"/>
      </w:pPr>
      <w:r>
        <w:rPr>
          <w:sz w:val="22"/>
        </w:rPr>
        <w:t>Pick one module (B1–B7). Implement or lab-simulate it end-to-end, land the evidence where the slot mapping binds it, then regenerate the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 xml:space="preserve">Completion means the Assessment Results show your module's slot verdict fed by </w:t>
      </w:r>
      <w:r>
        <w:rPr>
          <w:b/>
          <w:sz w:val="22"/>
        </w:rPr>
        <w:t>your</w:t>
      </w:r>
      <w:r>
        <w:rPr>
          <w:sz w:val="22"/>
        </w:rPr>
        <w:t xml:space="preserve"> artifact — the same bar as UIAO_125's Operator track ("clean walker/drift run"), applied to the AAN vertical.</w:t>
      </w:r>
    </w:p>
    <w:p>
      <w:pPr>
        <w:pStyle w:val="Heading2"/>
      </w:pPr>
      <w:r>
        <w:rPr>
          <w:color w:val="0D1B2E"/>
        </w:rPr>
        <w:t>Sequencing note</w:t>
      </w:r>
    </w:p>
    <w:p>
      <w:pPr>
        <w:spacing w:before="80" w:after="80"/>
      </w:pPr>
      <w:r>
        <w:rPr>
          <w:sz w:val="22"/>
        </w:rPr>
        <w:t>B1 → B2 → B3 is a real dependency chain (addressing before transport before data placement). B4–B6 can run in parallel after B2; B7 runs last — it assembles what every other module produced. Track A modules can be interleaved freely; many teams pair each B-module with its A-module (B1↔A2, B2↔A1/A3, B3↔A1, B4↔A1/A5, B5↔A4/A6, B6↔A6/A7, B7↔A8).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