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Identity Control Plane Deep Dive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1"/>
      </w:pPr>
      <w:r>
        <w:rPr>
          <w:color w:val="1B3A5C"/>
        </w:rPr>
        <w:t>Identity as the Root Namespace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interaction—identity, certificate, addressing, path, QoS, and telemetry—is treated as a single, correlated conversation rather than isolated events.</w:t>
      </w:r>
    </w:p>
    <w:p>
      <w:pPr>
        <w:pStyle w:val="Heading1"/>
      </w:pPr>
      <w:r>
        <w:rPr>
          <w:color w:val="1B3A5C"/>
        </w:rPr>
        <w:t>Identity‑Driven Outcomes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program has four near-term results that are measurable before the end of Phase 1.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 performance improves as soon as TIC 3.0 routing is in place. The pilot site recorded a 47% reduction in Teams call setup latency within the first week. That is not a projection — it is a measured result from the SD-WAN cutover already completed in the eastern region.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Three open POA&amp;M items close. They trace to IPAM fragmentation and incomplete identity governance — both of which UIAO directly addresses. Closing them reduces the agency's overall risk posture and removes a recurring finding that has appeared in the last two assessment cycles.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compliance evidence problem gets solved structurally. Instead of assembling a quarterly package that is already stale, assessors get continuous OSCAL output from the live architecture. The six-to-eight week lag goes away.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separation case — the one that used to take 24 to 48 hours — drops to under two minutes. That matters for both security and audit. Every contractor departure, every role change, every access review becomes a documented, automated event rather than a manual ticket that someone may or may not have closed.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longer-term outcome is an architecture that does not need to be replaced when a vendor changes. The control plane model is the investment. The specific vendors inside it are not.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Identity Plane Deep Dive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