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3A5C"/>
        </w:rPr>
        <w:t>Authorization Boundary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Classification:</w:t>
      </w:r>
      <w:r>
        <w:rPr>
          <w:rFonts w:ascii="Calibri" w:hAnsi="Calibri"/>
          <w:sz w:val="22"/>
        </w:rPr>
        <w:t xml:space="preserve"> CUI/FOUO </w:t>
      </w:r>
      <w:r>
        <w:rPr>
          <w:rFonts w:ascii="Calibri" w:hAnsi="Calibri"/>
          <w:b/>
          <w:i w:val="0"/>
          <w:sz w:val="22"/>
        </w:rPr>
        <w:t>Version:</w:t>
      </w:r>
      <w:r>
        <w:rPr>
          <w:rFonts w:ascii="Calibri" w:hAnsi="Calibri"/>
          <w:sz w:val="22"/>
        </w:rPr>
        <w:t xml:space="preserve"> 1.0 </w:t>
      </w:r>
      <w:r>
        <w:rPr>
          <w:rFonts w:ascii="Calibri" w:hAnsi="Calibri"/>
          <w:b/>
          <w:i w:val="0"/>
          <w:sz w:val="22"/>
        </w:rPr>
        <w:t>Generated:</w:t>
      </w:r>
      <w:r>
        <w:rPr>
          <w:rFonts w:ascii="Calibri" w:hAnsi="Calibri"/>
          <w:sz w:val="22"/>
        </w:rPr>
        <w:t xml:space="preserve"> Auto-generated</w:t>
      </w:r>
    </w:p>
    <w:p>
      <w:pPr>
        <w:pStyle w:val="Heading2"/>
      </w:pPr>
      <w:r>
        <w:rPr>
          <w:color w:val="1B3A5C"/>
        </w:rPr>
        <w:t>2. Network Architecture</w:t>
      </w:r>
    </w:p>
    <w:p>
      <w:pPr>
        <w:pStyle w:val="Heading3"/>
      </w:pPr>
      <w:r>
        <w:rPr>
          <w:color w:val="1B3A5C"/>
        </w:rPr>
        <w:t>2.1 High-Level Architecture</w:t>
      </w:r>
    </w:p>
    <w:p>
      <w:pPr>
        <w:pStyle w:val="Heading3"/>
      </w:pPr>
      <w:r>
        <w:rPr>
          <w:color w:val="1B3A5C"/>
        </w:rPr>
        <w:t>2.2 Network Segmentation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The UIAO network is segmented into the following zones: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Zone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Controls Applied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External / Untrusted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Internet-facing; no direct system access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CDN, WAF, NGFW filtering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DMZ / Perimeter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Gateway and proxy services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TLS termination, API gateway, WAF rules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Identity Zone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IdP and PAM services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Zero Trust Policy Engine, Entra ID CA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Network Fabric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SD-WAN overlay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mTLS encryption, micro-segmentation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Data Zone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Backend services and data stores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Encryption at rest, RBAC, audit logging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Telemetry Zone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SIEM and monitoring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Immutable log storage, restricted write access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Management Zone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Orchestration and policy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Break-glass procedures, session recording</w:t>
            </w:r>
          </w:p>
        </w:tc>
      </w:tr>
    </w:tbl>
    <w:p>
      <w:pPr>
        <w:pStyle w:val="Heading2"/>
      </w:pPr>
      <w:r>
        <w:rPr>
          <w:color w:val="1B3A5C"/>
        </w:rPr>
        <w:t>4. Internal Components</w:t>
      </w:r>
    </w:p>
    <w:p>
      <w:pPr>
        <w:pStyle w:val="Heading3"/>
      </w:pPr>
      <w:r>
        <w:rPr>
          <w:color w:val="1B3A5C"/>
        </w:rPr>
        <w:t>4.1 Component Summary by Plane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#### 4.1.1. identity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Description:</w:t>
      </w:r>
      <w:r>
        <w:rPr>
          <w:rFonts w:ascii="Calibri" w:hAnsi="Calibri"/>
          <w:sz w:val="22"/>
        </w:rPr>
        <w:t xml:space="preserve"> Manages user and device identity, authentication, and access control across the UIAO architecture.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Role</w:t>
            </w:r>
          </w:p>
        </w:tc>
      </w:tr>
    </w:tbl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Microsoft Entra ID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Primary Identity Provider</w:t>
            </w:r>
          </w:p>
        </w:tc>
      </w:tr>
    </w:tbl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ICAM Governance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Identity governance and compliance</w:t>
            </w:r>
          </w:p>
        </w:tc>
      </w:tr>
    </w:tbl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Zero Trust Policy Engine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Continuous access evaluation</w:t>
            </w:r>
          </w:p>
        </w:tc>
      </w:tr>
    </w:tbl>
    <w:p>
      <w:pPr>
        <w:spacing w:before="120" w:after="120" w:line="276" w:lineRule="auto"/>
      </w:pPr>
      <w:r>
        <w:rPr>
          <w:rFonts w:ascii="Calibri" w:hAnsi="Calibri"/>
          <w:sz w:val="22"/>
        </w:rPr>
        <w:t>#### 4.1.2. addressing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Description:</w:t>
      </w:r>
      <w:r>
        <w:rPr>
          <w:rFonts w:ascii="Calibri" w:hAnsi="Calibri"/>
          <w:sz w:val="22"/>
        </w:rPr>
        <w:t xml:space="preserve"> Manages IP address space, DNS resolution, and asset tracking across the enterprise network.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Role</w:t>
            </w:r>
          </w:p>
        </w:tc>
      </w:tr>
    </w:tbl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InfoBlox IPAM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Authoritative Source of Truth</w:t>
            </w:r>
          </w:p>
        </w:tc>
      </w:tr>
    </w:tbl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DNS Management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Authoritative DNS zones</w:t>
            </w:r>
          </w:p>
        </w:tc>
      </w:tr>
    </w:tbl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DHCP Management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Scope governance</w:t>
            </w:r>
          </w:p>
        </w:tc>
      </w:tr>
    </w:tbl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Cloud IPAM Reconciliation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Multi-cloud addressing truth</w:t>
            </w:r>
          </w:p>
        </w:tc>
      </w:tr>
    </w:tbl>
    <w:p>
      <w:pPr>
        <w:spacing w:before="120" w:after="120" w:line="276" w:lineRule="auto"/>
      </w:pPr>
      <w:r>
        <w:rPr>
          <w:rFonts w:ascii="Calibri" w:hAnsi="Calibri"/>
          <w:sz w:val="22"/>
        </w:rPr>
        <w:t>#### 4.1.3. overlay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Description:</w:t>
      </w:r>
      <w:r>
        <w:rPr>
          <w:rFonts w:ascii="Calibri" w:hAnsi="Calibri"/>
          <w:sz w:val="22"/>
        </w:rPr>
        <w:t xml:space="preserve"> Provides secure overlay networking, zero-trust network access, and microsegmentation capabilities.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Role</w:t>
            </w:r>
          </w:p>
        </w:tc>
      </w:tr>
    </w:tbl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ZTNA Gateway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TBD</w:t>
            </w:r>
          </w:p>
        </w:tc>
      </w:tr>
    </w:tbl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SD-WAN Controller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TBD</w:t>
            </w:r>
          </w:p>
        </w:tc>
      </w:tr>
    </w:tbl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Microsegmentation Engine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TBD</w:t>
            </w:r>
          </w:p>
        </w:tc>
      </w:tr>
    </w:tbl>
    <w:p>
      <w:pPr>
        <w:spacing w:before="120" w:after="120" w:line="276" w:lineRule="auto"/>
      </w:pPr>
      <w:r>
        <w:rPr>
          <w:rFonts w:ascii="Calibri" w:hAnsi="Calibri"/>
          <w:sz w:val="22"/>
        </w:rPr>
        <w:t>#### 4.1.4. telemetry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Description:</w:t>
      </w:r>
      <w:r>
        <w:rPr>
          <w:rFonts w:ascii="Calibri" w:hAnsi="Calibri"/>
          <w:sz w:val="22"/>
        </w:rPr>
        <w:t xml:space="preserve"> Collects, aggregates, and analyzes security telemetry from all planes to enable continuous monitoring and threat detection.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Role</w:t>
            </w:r>
          </w:p>
        </w:tc>
      </w:tr>
    </w:tbl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Splunk / Sentinel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Aggregation, correlation, compliance</w:t>
            </w:r>
          </w:p>
        </w:tc>
      </w:tr>
    </w:tbl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Azure Monitor / CloudWatch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Cloud-native telemetry</w:t>
            </w:r>
          </w:p>
        </w:tc>
      </w:tr>
    </w:tbl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ThousandEyes / Riverbed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Network path truth</w:t>
            </w:r>
          </w:p>
        </w:tc>
      </w:tr>
    </w:tbl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InfoBlox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DNS/DHCP/IPAM evidence</w:t>
            </w:r>
          </w:p>
        </w:tc>
      </w:tr>
    </w:tbl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Defender / MINR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Endpoint truth</w:t>
            </w:r>
          </w:p>
        </w:tc>
      </w:tr>
    </w:tbl>
    <w:p>
      <w:pPr>
        <w:spacing w:before="120" w:after="120" w:line="276" w:lineRule="auto"/>
      </w:pPr>
      <w:r>
        <w:rPr>
          <w:rFonts w:ascii="Calibri" w:hAnsi="Calibri"/>
          <w:sz w:val="22"/>
        </w:rPr>
        <w:t>#### 4.1.5. management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Description:</w:t>
      </w:r>
      <w:r>
        <w:rPr>
          <w:rFonts w:ascii="Calibri" w:hAnsi="Calibri"/>
          <w:sz w:val="22"/>
        </w:rPr>
        <w:t xml:space="preserve"> Orchestrates policy enforcement, automation, and continuous compliance monitoring across all UIAO planes.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Role</w:t>
            </w:r>
          </w:p>
        </w:tc>
      </w:tr>
    </w:tbl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Policy Engine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TBD</w:t>
            </w:r>
          </w:p>
        </w:tc>
      </w:tr>
    </w:tbl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ConMon Dashboard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TBD</w:t>
            </w:r>
          </w:p>
        </w:tc>
      </w:tr>
    </w:tbl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Automation Orchestrator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TBD</w:t>
            </w:r>
          </w:p>
        </w:tc>
      </w:tr>
    </w:tbl>
    <w:p>
      <w:pPr>
        <w:spacing w:before="120" w:after="120" w:line="276" w:lineRule="auto"/>
      </w:pPr>
      <w:r>
        <w:rPr>
          <w:rFonts w:ascii="Calibri" w:hAnsi="Calibri"/>
          <w:sz w:val="22"/>
        </w:rPr>
        <w:t>#### 4.1.6. network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Description:</w:t>
      </w:r>
      <w:r>
        <w:rPr>
          <w:rFonts w:ascii="Calibri" w:hAnsi="Calibri"/>
          <w:sz w:val="22"/>
        </w:rPr>
        <w:t xml:space="preserve"> Manages physical and virtual network connectivity, routing, and traffic engineering.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Role</w:t>
            </w:r>
          </w:p>
        </w:tc>
      </w:tr>
    </w:tbl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vManage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Centralized policy engine</w:t>
            </w:r>
          </w:p>
        </w:tc>
      </w:tr>
    </w:tbl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vSmart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Control-plane orchestrator</w:t>
            </w:r>
          </w:p>
        </w:tc>
      </w:tr>
    </w:tbl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vBond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Secure orchestration</w:t>
            </w:r>
          </w:p>
        </w:tc>
      </w:tr>
    </w:tbl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WAN Edge Devices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Enforcement points</w:t>
            </w:r>
          </w:p>
        </w:tc>
      </w:tr>
    </w:tbl>
    <w:p>
      <w:pPr>
        <w:spacing w:before="120" w:after="120" w:line="276" w:lineRule="auto"/>
      </w:pPr>
      <w:r>
        <w:rPr>
          <w:rFonts w:ascii="Calibri" w:hAnsi="Calibri"/>
          <w:sz w:val="22"/>
        </w:rPr>
        <w:t>#### 4.1.7. endpoint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Description:</w:t>
      </w:r>
      <w:r>
        <w:rPr>
          <w:rFonts w:ascii="Calibri" w:hAnsi="Calibri"/>
          <w:sz w:val="22"/>
        </w:rPr>
        <w:t xml:space="preserve"> Control plane component.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Role</w:t>
            </w:r>
          </w:p>
        </w:tc>
      </w:tr>
    </w:tbl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Defender / MINR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Endpoint detection and response</w:t>
            </w:r>
          </w:p>
        </w:tc>
      </w:tr>
    </w:tbl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Intune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Configuration and compliance management</w:t>
            </w:r>
          </w:p>
        </w:tc>
      </w:tr>
    </w:tbl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Entra ID Device Objects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Device identity anchoring</w:t>
            </w:r>
          </w:p>
        </w:tc>
      </w:tr>
    </w:tbl>
    <w:p>
      <w:pPr>
        <w:pStyle w:val="Heading2"/>
      </w:pPr>
      <w:r>
        <w:rPr>
          <w:color w:val="1B3A5C"/>
        </w:rPr>
        <w:t>6. Ports, Protocols, and Services</w:t>
      </w:r>
    </w:p>
    <w:p>
      <w:pPr>
        <w:pStyle w:val="Heading3"/>
      </w:pPr>
      <w:r>
        <w:rPr>
          <w:color w:val="1B3A5C"/>
        </w:rPr>
        <w:t>6.1 Allowed Inbound Ports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Port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Service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Justification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443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TCP / HTTPS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UIAO Gateway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All agency users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Application access (TLS 1.3 required)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443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TCP / HTTPS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Entra ID federation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Microsoft cloud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SSO and SAML assertion delivery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UDP / DNS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InfoBlox DNS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Internal clients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Name resolution (DNSSEC enforced)</w:t>
            </w:r>
          </w:p>
        </w:tc>
      </w:tr>
    </w:tbl>
    <w:p>
      <w:pPr>
        <w:pStyle w:val="Heading3"/>
      </w:pPr>
      <w:r>
        <w:rPr>
          <w:color w:val="1B3A5C"/>
        </w:rPr>
        <w:t>6.2 Allowed Outbound Ports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Port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Service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Destination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Justification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443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TCP / HTTPS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Microsoft Sentinel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Azure GovCloud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Log ingestion and SIEM telemetry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443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TCP / HTTPS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InfoBlox BloxOne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InfoBlox Cloud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IPAM data synchronization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443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TCP / HTTPS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Cisco vManage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Cisco cloud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SD-WAN control plane management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443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TCP / HTTPS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CDM/CLAW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DHS CDM SaaS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Asset visibility and reporting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500 / 4500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UDP / IKEv2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SD-WAN IPSec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Branch / WAN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Encrypted WAN tunnels</w:t>
            </w:r>
          </w:p>
        </w:tc>
      </w:tr>
    </w:tbl>
    <w:p>
      <w:pPr>
        <w:pStyle w:val="Heading3"/>
      </w:pPr>
      <w:r>
        <w:rPr>
          <w:color w:val="1B3A5C"/>
        </w:rPr>
        <w:t>6.3 Blocked / Denied Traffic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All traffic not explicitly permitted by the above allowlists is denied at the perimeter firewall and UIAO Gateway. Denied traffic events are logged to Microsoft Sentinel for analysis.</w:t>
      </w:r>
    </w:p>
    <w:p>
      <w:pPr>
        <w:spacing w:before="120" w:after="120" w:line="276" w:lineRule="auto"/>
      </w:pPr>
      <w:r>
        <w:rPr>
          <w:rFonts w:ascii="Calibri" w:hAnsi="Calibri"/>
          <w:b w:val="0"/>
          <w:i/>
          <w:sz w:val="22"/>
        </w:rPr>
        <w:t>Generated by the UIAO-Core Pipeline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4"/>
      </w:rPr>
      <w:t>CUI | UIAO Program | Generated 2026-04-11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800000"/>
        <w:sz w:val="16"/>
      </w:rPr>
      <w:t>CUI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