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Telemetry &amp; Location Control Plane Deep Dive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1"/>
      </w:pPr>
      <w:r>
        <w:rPr>
          <w:color w:val="1B3A5C"/>
        </w:rPr>
        <w:t>Telemetry as Control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Certificates and mutual TLS anchor tunnels, services, and trust relationships across the enterprise.</w:t>
      </w:r>
    </w:p>
    <w:p>
      <w:pPr>
        <w:pStyle w:val="Heading1"/>
      </w:pPr>
      <w:r>
        <w:rPr>
          <w:color w:val="1B3A5C"/>
        </w:rPr>
        <w:t>Telemetry‑Driven Outcomes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program has four near-term results that are measurable before the end of Phase 1.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 performance improves as soon as TIC 3.0 routing is in place. The pilot site recorded a 47% reduction in Teams call setup latency within the first week. That is not a projection — it is a measured result from the SD-WAN cutover already completed in the eastern region.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Three open POA&amp;M items close. They trace to IPAM fragmentation and incomplete identity governance — both of which UIAO directly addresses. Closing them reduces the agency's overall risk posture and removes a recurring finding that has appeared in the last two assessment cycles.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compliance evidence problem gets solved structurally. Instead of assembling a quarterly package that is already stale, assessors get continuous OSCAL output from the live architecture. The six-to-eight week lag goes away.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separation case — the one that used to take 24 to 48 hours — drops to under two minutes. That matters for both security and audit. Every contractor departure, every role change, every access review becomes a documented, automated event rather than a manual ticket that someone may or may not have closed.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longer-term outcome is an architecture that does not need to be replaced when a vendor changes. The control plane model is the investment. The specific vendors inside it are not.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Telemetry Plane Deep Dive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