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Six</w:t>
      </w:r>
      <w:r>
        <w:t xml:space="preserve"> </w:t>
      </w:r>
      <w:r>
        <w:t xml:space="preserve">Implementation</w:t>
      </w:r>
      <w:r>
        <w:t xml:space="preserve"> </w:t>
      </w:r>
      <w:r>
        <w:t xml:space="preserve">Tracks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Cs/>
          <w:b/>
        </w:rPr>
        <w:t xml:space="preserve">For authorizing officials, program executives, and budget decision makers.</w:t>
      </w:r>
    </w:p>
    <w:p>
      <w:pPr>
        <w:pStyle w:val="BodyText"/>
      </w:pPr>
      <w:r>
        <w:t xml:space="preserve">This document summarizes sixteen companion implementation guides that together constitute the Federal Application-Aware Networking program. Books 01–06 address DDI/DNS infrastructure, telecommunications modernization, network and identity architecture, SQL Server authentication, database implementation, and database architecture and network physics — closing</w:t>
      </w:r>
      <w:r>
        <w:t xml:space="preserve"> </w:t>
      </w:r>
      <w:r>
        <w:rPr>
          <w:bCs/>
          <w:b/>
        </w:rPr>
        <w:t xml:space="preserve">34 distinct NIST SP 800-53 Rev 5 controls</w:t>
      </w:r>
      <w:r>
        <w:t xml:space="preserve">. Books 07–11 extend coverage to privileged access management, vulnerability management, data protection, SIEM/XDR detection engineering, and business continuity — adding approximately</w:t>
      </w:r>
      <w:r>
        <w:t xml:space="preserve"> </w:t>
      </w:r>
      <w:r>
        <w:rPr>
          <w:bCs/>
          <w:b/>
        </w:rPr>
        <w:t xml:space="preserve">55 additional controls</w:t>
      </w:r>
      <w:r>
        <w:t xml:space="preserve"> </w:t>
      </w:r>
      <w:r>
        <w:t xml:space="preserve">across the AC, RA, MP, SC, AU, SI, IR, and CP families. Books 12–14 close the remaining SR, PM, and PT control families — supply chain risk management (SBOM/VDR/VEX pipeline), program management governance (POA&amp;M/SCRM/ISPP), and PII processing transparency (PT family templates and Purview enforcement). Book 15 delivers the AT family cybersecurity training program — activating KSI-022 (KSI-CED-RAT) and making all 29 FedRAMP 20x CR26 KSIs evaluable at high confidence. Book 16 assembles the complete FedRAMP 20x authorization package — OSCAL AP+AR+POA&amp;M bundle (29/29 KSIs satisfied, 0 open risks), continuous monitoring program, and BOD 26-04 VDR/VER submission procedure — closing CA-2, CA-5, CA-6, CA-7, RA-3, and SA-15. Together the series constitutes the complete evidence generation and authorization layer required for FedRAMP 20x continuous monitoring authorization.</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sixteen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23" w:name="series-overview"/>
    <w:p>
      <w:pPr>
        <w:pStyle w:val="Heading2"/>
      </w:pPr>
      <w:r>
        <w:t xml:space="preserve">Series Overview</w:t>
      </w:r>
    </w:p>
    <w:p>
      <w:pPr>
        <w:pStyle w:val="CaptionedFigure"/>
      </w:pPr>
      <w:r>
        <w:drawing>
          <wp:inline>
            <wp:extent cx="7772400" cy="2878666"/>
            <wp:effectExtent b="0" l="0" r="0" t="0"/>
            <wp:docPr descr="Federal Application-Aware Networking Series — Six Implementation Tracks, One Compliance Architecture" title="" id="21" name="Picture"/>
            <a:graphic>
              <a:graphicData uri="http://schemas.openxmlformats.org/drawingml/2006/picture">
                <pic:pic>
                  <pic:nvPicPr>
                    <pic:cNvPr descr="figs/es-fig-01-series-overview.png" id="22" name="Picture"/>
                    <pic:cNvPicPr>
                      <a:picLocks noChangeArrowheads="1" noChangeAspect="1"/>
                    </pic:cNvPicPr>
                  </pic:nvPicPr>
                  <pic:blipFill>
                    <a:blip r:embed="rId20"/>
                    <a:stretch>
                      <a:fillRect/>
                    </a:stretch>
                  </pic:blipFill>
                  <pic:spPr bwMode="auto">
                    <a:xfrm>
                      <a:off x="0" y="0"/>
                      <a:ext cx="7772400" cy="2878666"/>
                    </a:xfrm>
                    <a:prstGeom prst="rect">
                      <a:avLst/>
                    </a:prstGeom>
                    <a:noFill/>
                    <a:ln w="9525">
                      <a:noFill/>
                      <a:headEnd/>
                      <a:tailEnd/>
                    </a:ln>
                  </pic:spPr>
                </pic:pic>
              </a:graphicData>
            </a:graphic>
          </wp:inline>
        </w:drawing>
      </w:r>
    </w:p>
    <w:p>
      <w:pPr>
        <w:pStyle w:val="ImageCaption"/>
      </w:pPr>
      <w:r>
        <w:t xml:space="preserve">Federal Application-Aware Networking Series — Six Implementation Tracks, One Compliance Architecture</w:t>
      </w:r>
    </w:p>
    <w:p>
      <w:pPr>
        <w:pStyle w:val="TableCaption"/>
      </w:pPr>
      <w:r>
        <w:t xml:space="preserve">Federal Application-Aware Networking Series — Books 00–16 {.striped .hover}</w:t>
      </w:r>
    </w:p>
    <w:tbl>
      <w:tblPr>
        <w:tblStyle w:val="Table"/>
        <w:tblW w:type="pct" w:w="5000"/>
        <w:tblLook w:firstRow="1" w:lastRow="0" w:firstColumn="0" w:lastColumn="0" w:noHBand="0" w:noVBand="0" w:val="0020"/>
        <w:jc w:val="start"/>
        <w:tblCaption w:val="Federal Application-Aware Networking Series — Books 00–16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3</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4</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5</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6</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7</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8</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9</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10</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11</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12</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13</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14</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15</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r>
        <w:tc>
          <w:tcPr/>
          <w:p>
            <w:pPr>
              <w:pStyle w:val="Compact"/>
              <w:jc w:val="left"/>
            </w:pPr>
            <w:r>
              <w:t xml:space="preserve">Part 16</w:t>
            </w:r>
          </w:p>
        </w:tc>
        <w:tc>
          <w:tcPr/>
          <w:p>
            <w:pPr>
              <w:pStyle w:val="Compact"/>
              <w:jc w:val="left"/>
            </w:pPr>
            <w:r>
              <w:t xml:space="preserve">Federal AAN — Authorization Package and ConMon</w:t>
            </w:r>
          </w:p>
        </w:tc>
        <w:tc>
          <w:tcPr/>
          <w:p>
            <w:pPr>
              <w:pStyle w:val="Compact"/>
              <w:jc w:val="left"/>
            </w:pPr>
            <w:r>
              <w:t xml:space="preserve">FedRAMP 20x authorization package · OSCAL AP+AR+POA&amp;M bundle · BOD 26-04 VDR/VER submission · CA-7 ConMon program</w:t>
            </w:r>
          </w:p>
        </w:tc>
        <w:tc>
          <w:tcPr/>
          <w:p>
            <w:pPr>
              <w:pStyle w:val="Compact"/>
              <w:jc w:val="left"/>
            </w:pPr>
            <w:r>
              <w:t xml:space="preserve">CA-2/5/6/7 · RA-3 · SA-15</w:t>
            </w:r>
          </w:p>
        </w:tc>
      </w:tr>
    </w:tbl>
    <w:bookmarkEnd w:id="23"/>
    <w:bookmarkStart w:id="24"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4"/>
    <w:bookmarkStart w:id="29" w:name="X61a7a87a6a804b656956b0680aba9e198648b99"/>
    <w:p>
      <w:pPr>
        <w:pStyle w:val="Heading1"/>
      </w:pPr>
      <w:r>
        <w:rPr>
          <w:rStyle w:val="SectionNumber"/>
        </w:rPr>
        <w:t xml:space="preserve">1</w:t>
      </w:r>
      <w:r>
        <w:tab/>
      </w: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5" w:name="what-assessment-tools-actually-do"/>
    <w:p>
      <w:pPr>
        <w:pStyle w:val="Heading2"/>
      </w:pPr>
      <w:r>
        <w:rPr>
          <w:rStyle w:val="SectionNumber"/>
        </w:rPr>
        <w:t xml:space="preserve">1.1</w:t>
      </w:r>
      <w:r>
        <w:tab/>
      </w: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1"/>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1"/>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1"/>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1"/>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25"/>
    <w:bookmarkStart w:id="26" w:name="the-correct-sequencing"/>
    <w:p>
      <w:pPr>
        <w:pStyle w:val="Heading2"/>
      </w:pPr>
      <w:r>
        <w:rPr>
          <w:rStyle w:val="SectionNumber"/>
        </w:rPr>
        <w:t xml:space="preserve">1.2</w:t>
      </w:r>
      <w:r>
        <w:tab/>
      </w: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00–14</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01–11</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5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12–14</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6"/>
    <w:bookmarkStart w:id="27" w:name="Xbeccda7f0395df87220c304250d30fffcfba132"/>
    <w:p>
      <w:pPr>
        <w:pStyle w:val="Heading2"/>
      </w:pPr>
      <w:r>
        <w:rPr>
          <w:rStyle w:val="SectionNumber"/>
        </w:rPr>
        <w:t xml:space="preserve">1.3</w:t>
      </w:r>
      <w:r>
        <w:tab/>
      </w: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2"/>
        </w:numPr>
        <w:pStyle w:val="Compact"/>
      </w:pPr>
      <w:r>
        <w:rPr>
          <w:bCs/>
          <w:b/>
        </w:rPr>
        <w:t xml:space="preserve">Network layer</w:t>
      </w:r>
      <w:r>
        <w:t xml:space="preserve"> </w:t>
      </w:r>
      <w:r>
        <w:t xml:space="preserve">— DDI, DNS, DHCP, IPAM, DNSSEC, RPZ (InfoBlox)</w:t>
      </w:r>
    </w:p>
    <w:p>
      <w:pPr>
        <w:numPr>
          <w:ilvl w:val="0"/>
          <w:numId w:val="1002"/>
        </w:numPr>
        <w:pStyle w:val="Compact"/>
      </w:pPr>
      <w:r>
        <w:rPr>
          <w:bCs/>
          <w:b/>
        </w:rPr>
        <w:t xml:space="preserve">Transport layer</w:t>
      </w:r>
      <w:r>
        <w:t xml:space="preserve"> </w:t>
      </w:r>
      <w:r>
        <w:t xml:space="preserve">— IPsec overlays, SD-WAN QoS, DIA vs. SASE path selection</w:t>
      </w:r>
    </w:p>
    <w:p>
      <w:pPr>
        <w:numPr>
          <w:ilvl w:val="0"/>
          <w:numId w:val="1002"/>
        </w:numPr>
        <w:pStyle w:val="Compact"/>
      </w:pPr>
      <w:r>
        <w:rPr>
          <w:bCs/>
          <w:b/>
        </w:rPr>
        <w:t xml:space="preserve">Application layer</w:t>
      </w:r>
      <w:r>
        <w:t xml:space="preserve"> </w:t>
      </w:r>
      <w:r>
        <w:t xml:space="preserve">— CASB, SWG, FWaaS, SSL inspection (SASE stack)</w:t>
      </w:r>
    </w:p>
    <w:p>
      <w:pPr>
        <w:numPr>
          <w:ilvl w:val="0"/>
          <w:numId w:val="1002"/>
        </w:numPr>
        <w:pStyle w:val="Compact"/>
      </w:pPr>
      <w:r>
        <w:rPr>
          <w:bCs/>
          <w:b/>
        </w:rPr>
        <w:t xml:space="preserve">Identity layer</w:t>
      </w:r>
      <w:r>
        <w:t xml:space="preserve"> </w:t>
      </w:r>
      <w:r>
        <w:t xml:space="preserve">— Entra ID, Conditional Access, Arc Managed Identity, NTLM elimination</w:t>
      </w:r>
    </w:p>
    <w:p>
      <w:pPr>
        <w:numPr>
          <w:ilvl w:val="0"/>
          <w:numId w:val="1002"/>
        </w:numPr>
        <w:pStyle w:val="Compact"/>
      </w:pPr>
      <w:r>
        <w:rPr>
          <w:bCs/>
          <w:b/>
        </w:rPr>
        <w:t xml:space="preserve">Data layer</w:t>
      </w:r>
      <w:r>
        <w:t xml:space="preserve"> </w:t>
      </w:r>
      <w:r>
        <w:t xml:space="preserve">— SQL Server, TDE, consistency classes, replication physics</w:t>
      </w:r>
    </w:p>
    <w:p>
      <w:pPr>
        <w:numPr>
          <w:ilvl w:val="0"/>
          <w:numId w:val="1002"/>
        </w:numPr>
        <w:pStyle w:val="Compact"/>
      </w:pPr>
      <w:r>
        <w:rPr>
          <w:bCs/>
          <w:b/>
        </w:rPr>
        <w:t xml:space="preserve">Operations layer</w:t>
      </w:r>
      <w:r>
        <w:t xml:space="preserve"> </w:t>
      </w:r>
      <w:r>
        <w:t xml:space="preserve">— Sentinel, Defender XDR, KQL, Logic App playbooks</w:t>
      </w:r>
    </w:p>
    <w:p>
      <w:pPr>
        <w:numPr>
          <w:ilvl w:val="0"/>
          <w:numId w:val="1002"/>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End w:id="27"/>
    <w:bookmarkStart w:id="28" w:name="the-role-of-this-series"/>
    <w:p>
      <w:pPr>
        <w:pStyle w:val="Heading2"/>
      </w:pPr>
      <w:r>
        <w:rPr>
          <w:rStyle w:val="SectionNumber"/>
        </w:rPr>
        <w:t xml:space="preserve">1.4</w:t>
      </w:r>
      <w:r>
        <w:tab/>
      </w: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3"/>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3"/>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3"/>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3"/>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p>
      <w:r>
        <w:pict>
          <v:rect style="width:0;height:1.5pt" o:hralign="center" o:hrstd="t" o:hr="t"/>
        </w:pict>
      </w:r>
    </w:p>
    <w:bookmarkEnd w:id="28"/>
    <w:bookmarkEnd w:id="29"/>
    <w:bookmarkStart w:id="30" w:name="Xd8412075ae72a1334f7aea052d8fa68fa2dbbc2"/>
    <w:p>
      <w:pPr>
        <w:pStyle w:val="Heading1"/>
      </w:pPr>
      <w:r>
        <w:rPr>
          <w:rStyle w:val="SectionNumber"/>
        </w:rPr>
        <w:t xml:space="preserve">2</w:t>
      </w:r>
      <w:r>
        <w:tab/>
      </w: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0"/>
    <w:bookmarkStart w:id="33" w:name="X6f9a64b586cbcc7969c4f245976846e0504a959"/>
    <w:p>
      <w:pPr>
        <w:pStyle w:val="Heading1"/>
      </w:pPr>
      <w:r>
        <w:rPr>
          <w:rStyle w:val="SectionNumber"/>
        </w:rPr>
        <w:t xml:space="preserve">3</w:t>
      </w:r>
      <w:r>
        <w:tab/>
      </w:r>
      <w:r>
        <w:t xml:space="preserve">Part 1 — Landing Zone DDI: InfoBlox DDI Closes 16 NIST Controls</w:t>
      </w:r>
    </w:p>
    <w:bookmarkStart w:id="31" w:name="what-this-document-addresses"/>
    <w:p>
      <w:pPr>
        <w:pStyle w:val="Heading2"/>
      </w:pPr>
      <w:r>
        <w:rPr>
          <w:rStyle w:val="SectionNumber"/>
        </w:rPr>
        <w:t xml:space="preserve">3.1</w:t>
      </w:r>
      <w:r>
        <w:tab/>
      </w: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rPr>
          <w:rStyle w:val="SectionNumber"/>
        </w:rPr>
        <w:t xml:space="preserve">3.2</w:t>
      </w:r>
      <w:r>
        <w:tab/>
      </w: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6" w:name="X30ea934eea704269ad669831dc25cc2e78742e3"/>
    <w:p>
      <w:pPr>
        <w:pStyle w:val="Heading1"/>
      </w:pPr>
      <w:r>
        <w:rPr>
          <w:rStyle w:val="SectionNumber"/>
        </w:rPr>
        <w:t xml:space="preserve">4</w:t>
      </w:r>
      <w:r>
        <w:tab/>
      </w:r>
      <w:r>
        <w:t xml:space="preserve">Part 2 — Telecommunications Modernization: SD-WAN + SASE Closes 7 NIST Controls</w:t>
      </w:r>
    </w:p>
    <w:bookmarkStart w:id="34" w:name="what-this-document-addresses-1"/>
    <w:p>
      <w:pPr>
        <w:pStyle w:val="Heading2"/>
      </w:pPr>
      <w:r>
        <w:rPr>
          <w:rStyle w:val="SectionNumber"/>
        </w:rPr>
        <w:t xml:space="preserve">4.1</w:t>
      </w:r>
      <w:r>
        <w:tab/>
      </w: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bookmarkEnd w:id="34"/>
    <w:bookmarkStart w:id="35" w:name="nist-control-closure-part-2"/>
    <w:p>
      <w:pPr>
        <w:pStyle w:val="Heading2"/>
      </w:pPr>
      <w:r>
        <w:rPr>
          <w:rStyle w:val="SectionNumber"/>
        </w:rPr>
        <w:t xml:space="preserve">4.2</w:t>
      </w:r>
      <w:r>
        <w:tab/>
      </w:r>
      <w:r>
        <w:t xml:space="preserve">NIST Control Closure — Part 2</w:t>
      </w:r>
    </w:p>
    <w:p>
      <w:pPr>
        <w:pStyle w:val="TableCaption"/>
      </w:pPr>
      <w:r>
        <w:t xml:space="preserve">Part 2 — NIST SP 800-53 Rev 5 Control Closure: SD-WAN + SASE for Telecommunications {.striped .hover}</w:t>
      </w:r>
    </w:p>
    <w:tbl>
      <w:tblPr>
        <w:tblStyle w:val="Table"/>
        <w:tblW w:type="pct" w:w="5000"/>
        <w:tblLook w:firstRow="1" w:lastRow="0" w:firstColumn="0" w:lastColumn="0" w:noHBand="0" w:noVBand="0" w:val="0020"/>
        <w:jc w:val="start"/>
        <w:tblCaption w:val="Part 2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2 — Additional Controls for Amazon Connect Boundary Compliance {.striped .hover}</w:t>
      </w:r>
    </w:p>
    <w:tbl>
      <w:tblPr>
        <w:tblStyle w:val="Table"/>
        <w:tblW w:type="pct" w:w="5000"/>
        <w:tblLook w:firstRow="1" w:lastRow="0" w:firstColumn="0" w:lastColumn="0" w:noHBand="0" w:noVBand="0" w:val="0020"/>
        <w:jc w:val="start"/>
        <w:tblCaption w:val="Part 2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35"/>
    <w:bookmarkEnd w:id="36"/>
    <w:bookmarkStart w:id="39" w:name="X75e1654d20273f424251f16299992daf7279c1b"/>
    <w:p>
      <w:pPr>
        <w:pStyle w:val="Heading1"/>
      </w:pPr>
      <w:r>
        <w:rPr>
          <w:rStyle w:val="SectionNumber"/>
        </w:rPr>
        <w:t xml:space="preserve">5</w:t>
      </w:r>
      <w:r>
        <w:tab/>
      </w:r>
      <w:r>
        <w:t xml:space="preserve">Part 3 — Network and Identity Modernization: Entra ID + ZTNA + Active Governance Closes 12 NIST Controls</w:t>
      </w:r>
    </w:p>
    <w:bookmarkStart w:id="37" w:name="what-this-document-addresses-2"/>
    <w:p>
      <w:pPr>
        <w:pStyle w:val="Heading2"/>
      </w:pPr>
      <w:r>
        <w:rPr>
          <w:rStyle w:val="SectionNumber"/>
        </w:rPr>
        <w:t xml:space="preserve">5.1</w:t>
      </w:r>
      <w:r>
        <w:tab/>
      </w: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04"/>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04"/>
        </w:numPr>
        <w:pStyle w:val="Compact"/>
      </w:pPr>
      <w:r>
        <w:rPr>
          <w:bCs/>
          <w:b/>
        </w:rPr>
        <w:t xml:space="preserve">Deploy application-aware networking</w:t>
      </w:r>
      <w:r>
        <w:t xml:space="preserve"> </w:t>
      </w:r>
      <w:r>
        <w:t xml:space="preserve">— enforce policy at the application layer, not the IP/port layer</w:t>
      </w:r>
    </w:p>
    <w:p>
      <w:pPr>
        <w:numPr>
          <w:ilvl w:val="0"/>
          <w:numId w:val="1004"/>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04"/>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37"/>
    <w:bookmarkStart w:id="38" w:name="nist-control-closure-part-3"/>
    <w:p>
      <w:pPr>
        <w:pStyle w:val="Heading2"/>
      </w:pPr>
      <w:r>
        <w:rPr>
          <w:rStyle w:val="SectionNumber"/>
        </w:rPr>
        <w:t xml:space="preserve">5.2</w:t>
      </w:r>
      <w:r>
        <w:tab/>
      </w:r>
      <w:r>
        <w:t xml:space="preserve">NIST Control Closure — Part 3</w:t>
      </w:r>
    </w:p>
    <w:p>
      <w:pPr>
        <w:pStyle w:val="TableCaption"/>
      </w:pPr>
      <w:r>
        <w:t xml:space="preserve">Part 3 — NIST SP 800-53 Rev 5 Control Closure: Entra ID + ZTNA + Active Governance {.striped .hover}</w:t>
      </w:r>
    </w:p>
    <w:tbl>
      <w:tblPr>
        <w:tblStyle w:val="Table"/>
        <w:tblW w:type="pct" w:w="5000"/>
        <w:tblLook w:firstRow="1" w:lastRow="0" w:firstColumn="0" w:lastColumn="0" w:noHBand="0" w:noVBand="0" w:val="0020"/>
        <w:jc w:val="start"/>
        <w:tblCaption w:val="Part 3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38"/>
    <w:bookmarkEnd w:id="39"/>
    <w:bookmarkStart w:id="43" w:name="Xd252ab34334012dd1d4c02437079d82f9ec3c20"/>
    <w:p>
      <w:pPr>
        <w:pStyle w:val="Heading1"/>
      </w:pPr>
      <w:r>
        <w:rPr>
          <w:rStyle w:val="SectionNumber"/>
        </w:rPr>
        <w:t xml:space="preserve">6</w:t>
      </w:r>
      <w:r>
        <w:tab/>
      </w:r>
      <w:r>
        <w:t xml:space="preserve">Parts 4–6 — SQL Server and Database Architecture</w:t>
      </w:r>
    </w:p>
    <w:bookmarkStart w:id="40" w:name="what-these-documents-address"/>
    <w:p>
      <w:pPr>
        <w:pStyle w:val="Heading2"/>
      </w:pPr>
      <w:r>
        <w:rPr>
          <w:rStyle w:val="SectionNumber"/>
        </w:rPr>
        <w:t xml:space="preserve">6.1</w:t>
      </w:r>
      <w:r>
        <w:tab/>
      </w:r>
      <w:r>
        <w:t xml:space="preserve">What These Documents Address</w:t>
      </w:r>
    </w:p>
    <w:p>
      <w:pPr>
        <w:pStyle w:val="FirstParagraph"/>
      </w:pPr>
      <w:r>
        <w:t xml:space="preserve">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pPr>
        <w:pStyle w:val="BodyText"/>
      </w:pPr>
      <w:r>
        <w:rPr>
          <w:bCs/>
          <w:b/>
        </w:rPr>
        <w:t xml:space="preserve">Part 4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5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6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0"/>
    <w:bookmarkStart w:id="41" w:name="X19fcd4aef2aa8044043fe8006e12f2222ec8243"/>
    <w:p>
      <w:pPr>
        <w:pStyle w:val="Heading2"/>
      </w:pPr>
      <w:r>
        <w:rPr>
          <w:rStyle w:val="SectionNumber"/>
        </w:rPr>
        <w:t xml:space="preserve">6.2</w:t>
      </w:r>
      <w:r>
        <w:tab/>
      </w:r>
      <w:r>
        <w:t xml:space="preserve">NIST Control Closure — Parts 4 and 5 (SQL Server Authentication)</w:t>
      </w:r>
    </w:p>
    <w:p>
      <w:pPr>
        <w:pStyle w:val="TableCaption"/>
      </w:pPr>
      <w:r>
        <w:t xml:space="preserve">Parts 4-5 — NIST SP 800-53 Rev 5 Control Closure: SQL Server Authentication Modernization {.striped .hover}</w:t>
      </w:r>
    </w:p>
    <w:tbl>
      <w:tblPr>
        <w:tblStyle w:val="Table"/>
        <w:tblW w:type="pct" w:w="5000"/>
        <w:tblLook w:firstRow="1" w:lastRow="0" w:firstColumn="0" w:lastColumn="0" w:noHBand="0" w:noVBand="0" w:val="0020"/>
        <w:jc w:val="start"/>
        <w:tblCaption w:val="Parts 4-5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4-5):</w:t>
      </w:r>
      <w:r>
        <w:t xml:space="preserve"> </w:t>
      </w:r>
      <w:r>
        <w:t xml:space="preserve">IA-2, IA-3, IA-5, AC-2, AC-3, AC-17, AU-2/AU-12, CA-7, CM-2/CM-8, SC-8, SI-4 — all are deepened closures of controls addressed in Parts 1–3 at the identity and network layers, now extended to the database authentication layer.</w:t>
      </w:r>
    </w:p>
    <w:bookmarkEnd w:id="41"/>
    <w:bookmarkStart w:id="42" w:name="Xaffe3f4ea1f8c7a262674aad82b0a753f6b690f"/>
    <w:p>
      <w:pPr>
        <w:pStyle w:val="Heading2"/>
      </w:pPr>
      <w:r>
        <w:rPr>
          <w:rStyle w:val="SectionNumber"/>
        </w:rPr>
        <w:t xml:space="preserve">6.3</w:t>
      </w:r>
      <w:r>
        <w:tab/>
      </w:r>
      <w:r>
        <w:t xml:space="preserve">NIST Control Closure — Part 6 (Database Architecture and Network Physics)</w:t>
      </w:r>
    </w:p>
    <w:p>
      <w:pPr>
        <w:pStyle w:val="TableCaption"/>
      </w:pPr>
      <w:r>
        <w:t xml:space="preserve">Part 6 — NIST SP 800-53 Rev 5 Control Closure: Database Consolidation and Network Physics {.striped .hover}</w:t>
      </w:r>
    </w:p>
    <w:tbl>
      <w:tblPr>
        <w:tblStyle w:val="Table"/>
        <w:tblW w:type="pct" w:w="5000"/>
        <w:tblLook w:firstRow="1" w:lastRow="0" w:firstColumn="0" w:lastColumn="0" w:noHBand="0" w:noVBand="0" w:val="0020"/>
        <w:jc w:val="start"/>
        <w:tblCaption w:val="Part 6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6</w:t>
      </w:r>
      <w:r>
        <w:t xml:space="preserve"> </w:t>
      </w:r>
      <w:r>
        <w:t xml:space="preserve">(not addressed in Parts 1–5):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42"/>
    <w:bookmarkEnd w:id="43"/>
    <w:bookmarkStart w:id="45" w:name="parts-714-expanded-control-coverage"/>
    <w:p>
      <w:pPr>
        <w:pStyle w:val="Heading1"/>
      </w:pPr>
      <w:r>
        <w:rPr>
          <w:rStyle w:val="SectionNumber"/>
        </w:rPr>
        <w:t xml:space="preserve">7</w:t>
      </w:r>
      <w:r>
        <w:tab/>
      </w:r>
      <w:r>
        <w:t xml:space="preserve">Parts 7–14 — Expanded Control Coverage</w:t>
      </w:r>
    </w:p>
    <w:p>
      <w:pPr>
        <w:pStyle w:val="FirstParagraph"/>
      </w:pPr>
      <w:r>
        <w:t xml:space="preserve">Parts 7 through 11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12–14 close the three control families the network and security architecture documents cannot address on their own: supply chain risk management, program management governance, and PII processing transparency.</w:t>
      </w:r>
    </w:p>
    <w:bookmarkStart w:id="44" w:name="nist-control-closure-parts-716"/>
    <w:p>
      <w:pPr>
        <w:pStyle w:val="Heading2"/>
      </w:pPr>
      <w:r>
        <w:rPr>
          <w:rStyle w:val="SectionNumber"/>
        </w:rPr>
        <w:t xml:space="preserve">7.1</w:t>
      </w:r>
      <w:r>
        <w:tab/>
      </w:r>
      <w:r>
        <w:t xml:space="preserve">NIST Control Closure — Parts 7–16</w:t>
      </w:r>
    </w:p>
    <w:p>
      <w:pPr>
        <w:pStyle w:val="TableCaption"/>
      </w:pPr>
      <w:r>
        <w:t xml:space="preserve">Parts 7–16 — NIST SP 800-53 Rev 5 Control Coverage {.striped .hover}</w:t>
      </w:r>
    </w:p>
    <w:tbl>
      <w:tblPr>
        <w:tblStyle w:val="Table"/>
        <w:tblW w:type="pct" w:w="5000"/>
        <w:tblLook w:firstRow="1" w:lastRow="0" w:firstColumn="0" w:lastColumn="0" w:noHBand="0" w:noVBand="0" w:val="0020"/>
        <w:jc w:val="start"/>
        <w:tblCaption w:val="Parts 7–16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7</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8</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9</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10</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11</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12</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13</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14</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15</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r>
        <w:tc>
          <w:tcPr/>
          <w:p>
            <w:pPr>
              <w:pStyle w:val="Compact"/>
              <w:jc w:val="left"/>
            </w:pPr>
            <w:r>
              <w:rPr>
                <w:bCs/>
                <w:b/>
              </w:rPr>
              <w:t xml:space="preserve">Part 16</w:t>
            </w:r>
          </w:p>
        </w:tc>
        <w:tc>
          <w:tcPr/>
          <w:p>
            <w:pPr>
              <w:pStyle w:val="Compact"/>
              <w:jc w:val="left"/>
            </w:pPr>
            <w:r>
              <w:t xml:space="preserve">Authorization Package and ConMon</w:t>
            </w:r>
          </w:p>
        </w:tc>
        <w:tc>
          <w:tcPr/>
          <w:p>
            <w:pPr>
              <w:pStyle w:val="Compact"/>
              <w:jc w:val="left"/>
            </w:pPr>
            <w:r>
              <w:t xml:space="preserve">CA-2, CA-5, CA-6, CA-7, CA-7(1), CA-7(3), RA-3, SA-15</w:t>
            </w:r>
          </w:p>
        </w:tc>
        <w:tc>
          <w:tcPr/>
          <w:p>
            <w:pPr>
              <w:pStyle w:val="Compact"/>
              <w:jc w:val="left"/>
            </w:pPr>
            <w:r>
              <w:t xml:space="preserve">OSCAL AP+AR+POA&amp;M · BOD 26-04 VDR/VER · ConMon dashboard</w:t>
            </w:r>
          </w:p>
        </w:tc>
      </w:tr>
    </w:tbl>
    <w:p>
      <w:pPr>
        <w:pStyle w:val="BodyText"/>
      </w:pPr>
      <w:r>
        <w:rPr>
          <w:bCs/>
          <w:b/>
        </w:rPr>
        <w:t xml:space="preserve">KSI alignment:</w:t>
      </w:r>
      <w:r>
        <w:t xml:space="preserve"> </w:t>
      </w:r>
      <w:r>
        <w:t xml:space="preserve">Parts 7–11 map to KSI-MLA (Monitoring, Logging, Alerting),</w:t>
      </w:r>
      <w:r>
        <w:t xml:space="preserve"> </w:t>
      </w:r>
      <w:r>
        <w:t xml:space="preserve">KSI-SVC (Service Configuration), and KSI-IAM (Identity and Access Management)</w:t>
      </w:r>
      <w:r>
        <w:t xml:space="preserve"> </w:t>
      </w:r>
      <w:r>
        <w:t xml:space="preserve">themes in the FedRAMP 20x Consolidated Rules. Part 10 (Sentinel) is the primary</w:t>
      </w:r>
      <w:r>
        <w:t xml:space="preserve"> </w:t>
      </w:r>
      <w:r>
        <w:t xml:space="preserve">MLA evidence source; Parts 7 and 8 contribute KSI-IAM-ELP (Least Privilege) and</w:t>
      </w:r>
      <w:r>
        <w:t xml:space="preserve"> </w:t>
      </w:r>
      <w:r>
        <w:t xml:space="preserve">KSI-MLA-ALA (Analyzing and Acting on Alerts) respectively. Parts 12–14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15 activates</w:t>
      </w:r>
      <w:r>
        <w:rPr>
          <w:bCs/>
          <w:b/>
        </w:rPr>
        <w:t xml:space="preserve"> </w:t>
      </w:r>
      <w:r>
        <w:rPr>
          <w:bCs/>
          <w:b/>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Cs/>
          <w:b/>
        </w:rPr>
        <w:t xml:space="preserve">Part 16 converts</w:t>
      </w:r>
      <w:r>
        <w:rPr>
          <w:bCs/>
          <w:b/>
        </w:rPr>
        <w:t xml:space="preserve"> </w:t>
      </w:r>
      <w:r>
        <w:rPr>
          <w:bCs/>
          <w:b/>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44"/>
    <w:bookmarkEnd w:id="45"/>
    <w:bookmarkStart w:id="52" w:name="combined-control-closure-summary"/>
    <w:p>
      <w:pPr>
        <w:pStyle w:val="Heading1"/>
      </w:pPr>
      <w:r>
        <w:rPr>
          <w:rStyle w:val="SectionNumber"/>
        </w:rPr>
        <w:t xml:space="preserve">8</w:t>
      </w:r>
      <w:r>
        <w:tab/>
      </w:r>
      <w:r>
        <w:t xml:space="preserve">Combined Control Closure Summary</w:t>
      </w:r>
    </w:p>
    <w:p>
      <w:pPr>
        <w:pStyle w:val="CaptionedFigure"/>
      </w:pPr>
      <w:r>
        <w:drawing>
          <wp:inline>
            <wp:extent cx="7772400" cy="4035668"/>
            <wp:effectExtent b="0" l="0" r="0" t="0"/>
            <wp:docPr descr="NIST SP 800-53 Control Closure by Family and Track — All Six Parts" title="" id="47" name="Picture"/>
            <a:graphic>
              <a:graphicData uri="http://schemas.openxmlformats.org/drawingml/2006/picture">
                <pic:pic>
                  <pic:nvPicPr>
                    <pic:cNvPr descr="figs/es-fig-02-control-closure-chart.png" id="48" name="Picture"/>
                    <pic:cNvPicPr>
                      <a:picLocks noChangeArrowheads="1" noChangeAspect="1"/>
                    </pic:cNvPicPr>
                  </pic:nvPicPr>
                  <pic:blipFill>
                    <a:blip r:embed="rId46"/>
                    <a:stretch>
                      <a:fillRect/>
                    </a:stretch>
                  </pic:blipFill>
                  <pic:spPr bwMode="auto">
                    <a:xfrm>
                      <a:off x="0" y="0"/>
                      <a:ext cx="7772400" cy="4035668"/>
                    </a:xfrm>
                    <a:prstGeom prst="rect">
                      <a:avLst/>
                    </a:prstGeom>
                    <a:noFill/>
                    <a:ln w="9525">
                      <a:noFill/>
                      <a:headEnd/>
                      <a:tailEnd/>
                    </a:ln>
                  </pic:spPr>
                </pic:pic>
              </a:graphicData>
            </a:graphic>
          </wp:inline>
        </w:drawing>
      </w:r>
    </w:p>
    <w:p>
      <w:pPr>
        <w:pStyle w:val="ImageCaption"/>
      </w:pPr>
      <w:r>
        <w:t xml:space="preserve">NIST SP 800-53 Control Closure by Family and Track — All Six Parts</w:t>
      </w:r>
    </w:p>
    <w:bookmarkStart w:id="49" w:name="X9338e32c6e8ebad6c3f8cbbfe99c79ac65ab982"/>
    <w:p>
      <w:pPr>
        <w:pStyle w:val="Heading2"/>
      </w:pPr>
      <w:r>
        <w:rPr>
          <w:rStyle w:val="SectionNumber"/>
        </w:rPr>
        <w:t xml:space="preserve">8.1</w:t>
      </w:r>
      <w:r>
        <w:tab/>
      </w:r>
      <w:r>
        <w:t xml:space="preserve">Total Controls Closed Across All Six Implementations</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2, 3, 6</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3, 4-5</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2, 3, 4-5, 6</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3, 4-5</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2, 3, 4-5</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2, 3, 4-5, 6</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6</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2, 6</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2, 3, 4-5</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49"/>
    <w:bookmarkStart w:id="50" w:name="control-count-comparison"/>
    <w:p>
      <w:pPr>
        <w:pStyle w:val="Heading2"/>
      </w:pPr>
      <w:r>
        <w:rPr>
          <w:rStyle w:val="SectionNumber"/>
        </w:rPr>
        <w:t xml:space="preserve">8.2</w:t>
      </w:r>
      <w:r>
        <w:tab/>
      </w: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2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3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4–5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6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bookmarkEnd w:id="50"/>
    <w:bookmarkStart w:id="51" w:name="what-closed-means-under-fedramp-20x"/>
    <w:p>
      <w:pPr>
        <w:pStyle w:val="Heading2"/>
      </w:pPr>
      <w:r>
        <w:rPr>
          <w:rStyle w:val="SectionNumber"/>
        </w:rPr>
        <w:t xml:space="preserve">8.3</w:t>
      </w:r>
      <w:r>
        <w:tab/>
      </w: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05"/>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05"/>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05"/>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05"/>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06"/>
        </w:numPr>
        <w:pStyle w:val="Compact"/>
      </w:pPr>
      <w:r>
        <w:rPr>
          <w:bCs/>
          <w:b/>
        </w:rPr>
        <w:t xml:space="preserve">InfoBlox WAPI</w:t>
      </w:r>
      <w:r>
        <w:t xml:space="preserve"> </w:t>
      </w:r>
      <w:r>
        <w:t xml:space="preserve">exports all DDI evidence as structured JSON</w:t>
      </w:r>
    </w:p>
    <w:p>
      <w:pPr>
        <w:numPr>
          <w:ilvl w:val="0"/>
          <w:numId w:val="1006"/>
        </w:numPr>
        <w:pStyle w:val="Compact"/>
      </w:pPr>
      <w:r>
        <w:rPr>
          <w:bCs/>
          <w:b/>
        </w:rPr>
        <w:t xml:space="preserve">SASE stack</w:t>
      </w:r>
      <w:r>
        <w:t xml:space="preserve"> </w:t>
      </w:r>
      <w:r>
        <w:t xml:space="preserve">exports per-session telemetry in structured log format</w:t>
      </w:r>
    </w:p>
    <w:p>
      <w:pPr>
        <w:numPr>
          <w:ilvl w:val="0"/>
          <w:numId w:val="1006"/>
        </w:numPr>
        <w:pStyle w:val="Compact"/>
      </w:pPr>
      <w:r>
        <w:rPr>
          <w:bCs/>
          <w:b/>
        </w:rPr>
        <w:t xml:space="preserve">Active Governance control plane</w:t>
      </w:r>
      <w:r>
        <w:t xml:space="preserve"> </w:t>
      </w:r>
      <w:r>
        <w:t xml:space="preserve">generates desired-vs-actual JSON records as its primary output</w:t>
      </w:r>
    </w:p>
    <w:p>
      <w:pPr>
        <w:numPr>
          <w:ilvl w:val="0"/>
          <w:numId w:val="1006"/>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06"/>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51"/>
    <w:bookmarkEnd w:id="52"/>
    <w:bookmarkStart w:id="58" w:name="X13ad49f0ab0a3c4624d7046d7573c0f02162bc7"/>
    <w:p>
      <w:pPr>
        <w:pStyle w:val="Heading1"/>
      </w:pPr>
      <w:r>
        <w:rPr>
          <w:rStyle w:val="SectionNumber"/>
        </w:rPr>
        <w:t xml:space="preserve">9</w:t>
      </w:r>
      <w:r>
        <w:tab/>
      </w:r>
      <w:r>
        <w:t xml:space="preserve">Previously Identified Gaps — Now Closed by Parts 12–14</w:t>
      </w:r>
    </w:p>
    <w:p>
      <w:pPr>
        <w:pStyle w:val="FirstParagraph"/>
      </w:pPr>
      <w:r>
        <w:t xml:space="preserve">Three NIST SP 800-53 control families required additional artifacts beyond</w:t>
      </w:r>
      <w:r>
        <w:t xml:space="preserve"> </w:t>
      </w:r>
      <w:r>
        <w:t xml:space="preserve">network and security architecture documents. Parts 12–14 were authored to close</w:t>
      </w:r>
      <w:r>
        <w:t xml:space="preserve"> </w:t>
      </w:r>
      <w:r>
        <w:t xml:space="preserve">these gaps; the series is now complete across all identified control families.</w:t>
      </w:r>
    </w:p>
    <w:bookmarkStart w:id="53" w:name="Xa81065e3c6a65dd344b5d14588b12711850ea25"/>
    <w:p>
      <w:pPr>
        <w:pStyle w:val="Heading2"/>
      </w:pPr>
      <w:r>
        <w:rPr>
          <w:rStyle w:val="SectionNumber"/>
        </w:rPr>
        <w:t xml:space="preserve">9.1</w:t>
      </w:r>
      <w:r>
        <w:tab/>
      </w: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12.</w:t>
      </w:r>
    </w:p>
    <w:p>
      <w:pPr>
        <w:pStyle w:val="BodyText"/>
      </w:pPr>
      <w:r>
        <w:rPr>
          <w:bCs/>
          <w:b/>
        </w:rPr>
        <w:t xml:space="preserve">Controls closed:</w:t>
      </w:r>
      <w:r>
        <w:t xml:space="preserve"> </w:t>
      </w:r>
      <w:r>
        <w:t xml:space="preserve">SR-1, SR-2, SR-3, SR-5, SR-6, SR-8, SR-10, SR-11</w:t>
      </w:r>
    </w:p>
    <w:p>
      <w:pPr>
        <w:pStyle w:val="BodyText"/>
      </w:pPr>
      <w:r>
        <w:rPr>
          <w:bCs/>
          <w:b/>
        </w:rPr>
        <w:t xml:space="preserve">Part 12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3"/>
    <w:bookmarkStart w:id="54" w:name="pm-program-management"/>
    <w:p>
      <w:pPr>
        <w:pStyle w:val="Heading2"/>
      </w:pPr>
      <w:r>
        <w:rPr>
          <w:rStyle w:val="SectionNumber"/>
        </w:rPr>
        <w:t xml:space="preserve">9.2</w:t>
      </w:r>
      <w:r>
        <w:tab/>
      </w: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13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54"/>
    <w:bookmarkStart w:id="55" w:name="pt-pii-processing-and-transparency"/>
    <w:p>
      <w:pPr>
        <w:pStyle w:val="Heading2"/>
      </w:pPr>
      <w:r>
        <w:rPr>
          <w:rStyle w:val="SectionNumber"/>
        </w:rPr>
        <w:t xml:space="preserve">9.3</w:t>
      </w:r>
      <w:r>
        <w:tab/>
      </w: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14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9 sensitivity labels. KSI-PIY-RSD activated</w:t>
      </w:r>
      <w:r>
        <w:t xml:space="preserve"> </w:t>
      </w:r>
      <w:r>
        <w:t xml:space="preserve">at high confidence.</w:t>
      </w:r>
    </w:p>
    <w:bookmarkEnd w:id="55"/>
    <w:bookmarkStart w:id="56" w:name="X461ed25ed3923a3d8b55e0e3965ec2f4255b061"/>
    <w:p>
      <w:pPr>
        <w:pStyle w:val="Heading2"/>
      </w:pPr>
      <w:r>
        <w:rPr>
          <w:rStyle w:val="SectionNumber"/>
        </w:rPr>
        <w:t xml:space="preserve">9.4</w:t>
      </w:r>
      <w:r>
        <w:tab/>
      </w: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15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56"/>
    <w:bookmarkStart w:id="57" w:name="priority-4-cr26-breadth-gaps-resolved"/>
    <w:p>
      <w:pPr>
        <w:pStyle w:val="Heading2"/>
      </w:pPr>
      <w:r>
        <w:rPr>
          <w:rStyle w:val="SectionNumber"/>
        </w:rPr>
        <w:t xml:space="preserve">9.5</w:t>
      </w:r>
      <w:r>
        <w:tab/>
      </w: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12–14, CED by Part 15. INR (Incident</w:t>
      </w:r>
      <w:r>
        <w:t xml:space="preserve"> </w:t>
      </w:r>
      <w:r>
        <w:t xml:space="preserve">Notification and Response) and RPL (Replication and Continuity) are served</w:t>
      </w:r>
      <w:r>
        <w:t xml:space="preserve"> </w:t>
      </w:r>
      <w:r>
        <w:t xml:space="preserve">by Parts 10–11 through Sentinel/XDR playbooks and the Business Continuity</w:t>
      </w:r>
      <w:r>
        <w:t xml:space="preserve"> </w:t>
      </w:r>
      <w:r>
        <w:t xml:space="preserve">DR architecture. All scaffold KSIs have been activated.</w:t>
      </w:r>
    </w:p>
    <w:p>
      <w:r>
        <w:pict>
          <v:rect style="width:0;height:1.5pt" o:hralign="center" o:hrstd="t" o:hr="t"/>
        </w:pict>
      </w:r>
    </w:p>
    <w:bookmarkEnd w:id="57"/>
    <w:bookmarkEnd w:id="58"/>
    <w:bookmarkStart w:id="59" w:name="Xe8a0cfc3dacfc499165fbb6b52941ca764a0109"/>
    <w:p>
      <w:pPr>
        <w:pStyle w:val="Heading1"/>
      </w:pPr>
      <w:r>
        <w:rPr>
          <w:rStyle w:val="SectionNumber"/>
        </w:rPr>
        <w:t xml:space="preserve">10</w:t>
      </w:r>
      <w:r>
        <w:tab/>
      </w:r>
      <w:r>
        <w:t xml:space="preserve">Conformance Adapter and OSCAL Emitter Framework</w:t>
      </w:r>
    </w:p>
    <w:p>
      <w:pPr>
        <w:pStyle w:val="FirstParagraph"/>
      </w:pPr>
      <w:r>
        <w:t xml:space="preserve">The sixteen-book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Cs/>
          <w:b/>
        </w:rPr>
        <w:t xml:space="preserve">Current state — all components operational:</w:t>
      </w:r>
    </w:p>
    <w:tbl>
      <w:tblPr>
        <w:tblStyle w:val="Table"/>
        <w:tblW w:type="pct" w:w="5000"/>
        <w:tblLook w:firstRow="1" w:lastRow="0" w:firstColumn="0" w:lastColumn="0" w:noHBand="0" w:noVBand="0" w:val="0020"/>
        <w:jc w:val="start"/>
      </w:tblPr>
      <w:tblGrid>
        <w:gridCol w:w="3350"/>
        <w:gridCol w:w="2436"/>
        <w:gridCol w:w="2132"/>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Conformance Adapter schema</w:t>
            </w:r>
          </w:p>
        </w:tc>
        <w:tc>
          <w:tcPr/>
          <w:p>
            <w:pPr>
              <w:pStyle w:val="Compact"/>
              <w:jc w:val="left"/>
            </w:pPr>
            <w:r>
              <w:t xml:space="preserve">Complete</w:t>
            </w:r>
          </w:p>
        </w:tc>
        <w:tc>
          <w:tcPr/>
          <w:p>
            <w:pPr>
              <w:pStyle w:val="Compact"/>
              <w:jc w:val="left"/>
            </w:pPr>
            <w:r>
              <w:t xml:space="preserve">29/29 KSIs mapped</w:t>
            </w:r>
          </w:p>
        </w:tc>
      </w:tr>
      <w:tr>
        <w:tc>
          <w:tcPr/>
          <w:p>
            <w:pPr>
              <w:pStyle w:val="Compact"/>
              <w:jc w:val="left"/>
            </w:pPr>
            <w:r>
              <w:t xml:space="preserve">Surface slots 1–8 (all slots)</w:t>
            </w:r>
          </w:p>
        </w:tc>
        <w:tc>
          <w:tcPr/>
          <w:p>
            <w:pPr>
              <w:pStyle w:val="Compact"/>
              <w:jc w:val="left"/>
            </w:pPr>
            <w:r>
              <w:t xml:space="preserve">Bound to AAN evidence</w:t>
            </w:r>
          </w:p>
        </w:tc>
        <w:tc>
          <w:tcPr/>
          <w:p>
            <w:pPr>
              <w:pStyle w:val="Compact"/>
              <w:jc w:val="left"/>
            </w:pPr>
            <w:r>
              <w:t xml:space="preserve">slot-08 training activated by Part 15</w:t>
            </w:r>
          </w:p>
        </w:tc>
      </w:tr>
      <w:tr>
        <w:tc>
          <w:tcPr/>
          <w:p>
            <w:pPr>
              <w:pStyle w:val="Compact"/>
              <w:jc w:val="left"/>
            </w:pPr>
            <w:r>
              <w:t xml:space="preserve">OSCAL AP</w:t>
            </w:r>
          </w:p>
        </w:tc>
        <w:tc>
          <w:tcPr/>
          <w:p>
            <w:pPr>
              <w:pStyle w:val="Compact"/>
              <w:jc w:val="left"/>
            </w:pPr>
            <w:r>
              <w:t xml:space="preserve">Complete</w:t>
            </w:r>
          </w:p>
        </w:tc>
        <w:tc>
          <w:tcPr/>
          <w:p>
            <w:pPr>
              <w:pStyle w:val="Compact"/>
              <w:jc w:val="left"/>
            </w:pPr>
            <w:r>
              <w:t xml:space="preserve">10 themes, 32 CR26 controls</w:t>
            </w:r>
          </w:p>
        </w:tc>
      </w:tr>
      <w:tr>
        <w:tc>
          <w:tcPr/>
          <w:p>
            <w:pPr>
              <w:pStyle w:val="Compact"/>
              <w:jc w:val="left"/>
            </w:pPr>
            <w:r>
              <w:t xml:space="preserve">OSCAL AR</w:t>
            </w:r>
          </w:p>
        </w:tc>
        <w:tc>
          <w:tcPr/>
          <w:p>
            <w:pPr>
              <w:pStyle w:val="Compact"/>
              <w:jc w:val="left"/>
            </w:pPr>
            <w:r>
              <w:t xml:space="preserve">Complete</w:t>
            </w:r>
          </w:p>
        </w:tc>
        <w:tc>
          <w:tcPr/>
          <w:p>
            <w:pPr>
              <w:pStyle w:val="Compact"/>
              <w:jc w:val="left"/>
            </w:pPr>
            <w:r>
              <w:t xml:space="preserve">29 findings, 0 open risks, 0 not-satisfied</w:t>
            </w:r>
          </w:p>
        </w:tc>
      </w:tr>
      <w:tr>
        <w:tc>
          <w:tcPr/>
          <w:p>
            <w:pPr>
              <w:pStyle w:val="Compact"/>
              <w:jc w:val="left"/>
            </w:pPr>
            <w:r>
              <w:t xml:space="preserve">OSCAL POA&amp;M</w:t>
            </w:r>
          </w:p>
        </w:tc>
        <w:tc>
          <w:tcPr/>
          <w:p>
            <w:pPr>
              <w:pStyle w:val="Compact"/>
              <w:jc w:val="left"/>
            </w:pPr>
            <w:r>
              <w:t xml:space="preserve">Complete</w:t>
            </w:r>
          </w:p>
        </w:tc>
        <w:tc>
          <w:tcPr/>
          <w:p>
            <w:pPr>
              <w:pStyle w:val="Compact"/>
              <w:jc w:val="left"/>
            </w:pPr>
            <w:r>
              <w:t xml:space="preserve">0 items — all KSIs satisfied</w:t>
            </w:r>
          </w:p>
        </w:tc>
      </w:tr>
      <w:tr>
        <w:tc>
          <w:tcPr/>
          <w:p>
            <w:pPr>
              <w:pStyle w:val="Compact"/>
              <w:jc w:val="left"/>
            </w:pPr>
            <w:r>
              <w:t xml:space="preserve">ScuBA adapter (KSI-001..010)</w:t>
            </w:r>
          </w:p>
        </w:tc>
        <w:tc>
          <w:tcPr/>
          <w:p>
            <w:pPr>
              <w:pStyle w:val="Compact"/>
              <w:jc w:val="left"/>
            </w:pPr>
            <w:r>
              <w:t xml:space="preserve">Active</w:t>
            </w:r>
          </w:p>
        </w:tc>
        <w:tc>
          <w:tcPr/>
          <w:p>
            <w:pPr>
              <w:pStyle w:val="Compact"/>
              <w:jc w:val="left"/>
            </w:pPr>
            <w:r>
              <w:t xml:space="preserve">CISA ScuBAGear M365 continuous assessment</w:t>
            </w:r>
          </w:p>
        </w:tc>
      </w:tr>
      <w:tr>
        <w:tc>
          <w:tcPr/>
          <w:p>
            <w:pPr>
              <w:pStyle w:val="Compact"/>
              <w:jc w:val="left"/>
            </w:pPr>
            <w:r>
              <w:t xml:space="preserve">Slot evaluator (KSI-011..029)</w:t>
            </w:r>
          </w:p>
        </w:tc>
        <w:tc>
          <w:tcPr/>
          <w:p>
            <w:pPr>
              <w:pStyle w:val="Compact"/>
              <w:jc w:val="left"/>
            </w:pPr>
            <w:r>
              <w:t xml:space="preserve">Active</w:t>
            </w:r>
          </w:p>
        </w:tc>
        <w:tc>
          <w:tcPr/>
          <w:p>
            <w:pPr>
              <w:pStyle w:val="Compact"/>
              <w:jc w:val="lef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59"/>
    <w:bookmarkStart w:id="65" w:name="implementation-priority-and-sequencing"/>
    <w:p>
      <w:pPr>
        <w:pStyle w:val="Heading1"/>
      </w:pPr>
      <w:r>
        <w:rPr>
          <w:rStyle w:val="SectionNumber"/>
        </w:rPr>
        <w:t xml:space="preserve">11</w:t>
      </w:r>
      <w:r>
        <w:tab/>
      </w:r>
      <w:r>
        <w:t xml:space="preserve">Implementation Priority and Sequencing</w:t>
      </w:r>
    </w:p>
    <w:p>
      <w:pPr>
        <w:pStyle w:val="CaptionedFigure"/>
      </w:pPr>
      <w:r>
        <w:drawing>
          <wp:inline>
            <wp:extent cx="7772400" cy="2989384"/>
            <wp:effectExtent b="0" l="0" r="0" t="0"/>
            <wp:docPr descr="Implementation Sequencing — Path to FedRAMP 20x Mandatory Compliance by January 1 2027" title="" id="61" name="Picture"/>
            <a:graphic>
              <a:graphicData uri="http://schemas.openxmlformats.org/drawingml/2006/picture">
                <pic:pic>
                  <pic:nvPicPr>
                    <pic:cNvPr descr="figs/es-fig-04-sequencing-roadmap.png" id="62" name="Picture"/>
                    <pic:cNvPicPr>
                      <a:picLocks noChangeArrowheads="1" noChangeAspect="1"/>
                    </pic:cNvPicPr>
                  </pic:nvPicPr>
                  <pic:blipFill>
                    <a:blip r:embed="rId60"/>
                    <a:stretch>
                      <a:fillRect/>
                    </a:stretch>
                  </pic:blipFill>
                  <pic:spPr bwMode="auto">
                    <a:xfrm>
                      <a:off x="0" y="0"/>
                      <a:ext cx="7772400" cy="2989384"/>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2 — Concurrent with Part 1</w:t>
            </w:r>
          </w:p>
        </w:tc>
        <w:tc>
          <w:tcPr/>
          <w:p>
            <w:pPr>
              <w:pStyle w:val="Compact"/>
              <w:jc w:val="left"/>
            </w:pPr>
            <w:r>
              <w:t xml:space="preserve">Part 2: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3: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3</w:t>
            </w:r>
          </w:p>
        </w:tc>
        <w:tc>
          <w:tcPr/>
          <w:p>
            <w:pPr>
              <w:pStyle w:val="Compact"/>
              <w:jc w:val="left"/>
            </w:pPr>
            <w:r>
              <w:t xml:space="preserve">Parts 4–5: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4–5</w:t>
            </w:r>
          </w:p>
        </w:tc>
        <w:tc>
          <w:tcPr/>
          <w:p>
            <w:pPr>
              <w:pStyle w:val="Compact"/>
              <w:jc w:val="left"/>
            </w:pPr>
            <w:r>
              <w:t xml:space="preserve">Part 6: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3" w:name="phased-delivery-roadmap"/>
    <w:p>
      <w:pPr>
        <w:pStyle w:val="Heading2"/>
      </w:pPr>
      <w:r>
        <w:rPr>
          <w:rStyle w:val="SectionNumber"/>
        </w:rPr>
        <w:t xml:space="preserve">11.1</w:t>
      </w:r>
      <w:r>
        <w:tab/>
      </w:r>
      <w:r>
        <w:t xml:space="preserve">Phased Delivery Roadmap</w:t>
      </w:r>
    </w:p>
    <w:p>
      <w:pPr>
        <w:pStyle w:val="TableCaption"/>
      </w:pPr>
      <w:r>
        <w:t xml:space="preserve">Phased Delivery Roadmap — Phase 0 through Phase 6 {.striped .hover}</w:t>
      </w:r>
    </w:p>
    <w:tbl>
      <w:tblPr>
        <w:tblStyle w:val="Table"/>
        <w:tblW w:type="pct" w:w="5000"/>
        <w:tblLook w:firstRow="1" w:lastRow="0" w:firstColumn="0" w:lastColumn="0" w:noHBand="0" w:noVBand="0" w:val="0020"/>
        <w:jc w:val="start"/>
        <w:tblCaption w:val="Phased Delivery Roadmap — Phase 0 through Phase 6 {.striped .hover}"/>
      </w:tblPr>
      <w:tblGrid>
        <w:gridCol w:w="1421"/>
        <w:gridCol w:w="2030"/>
        <w:gridCol w:w="1624"/>
        <w:gridCol w:w="2843"/>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Status</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 Complete</w:t>
            </w:r>
          </w:p>
        </w:tc>
        <w:tc>
          <w:tcPr/>
          <w:p>
            <w:pPr>
              <w:pStyle w:val="Compact"/>
              <w:jc w:val="left"/>
            </w:pPr>
            <w:r>
              <w:t xml:space="preserve">Parts 1–11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 Complete</w:t>
            </w:r>
          </w:p>
        </w:tc>
        <w:tc>
          <w:tcPr/>
          <w:p>
            <w:pPr>
              <w:pStyle w:val="Compact"/>
              <w:jc w:val="left"/>
            </w:pPr>
            <w:r>
              <w:t xml:space="preserve">Part 12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 Complete</w:t>
            </w:r>
          </w:p>
        </w:tc>
        <w:tc>
          <w:tcPr/>
          <w:p>
            <w:pPr>
              <w:pStyle w:val="Compact"/>
              <w:jc w:val="left"/>
            </w:pPr>
            <w:r>
              <w:t xml:space="preserve">OSCAL Emitter AR output; Part 13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 Complete</w:t>
            </w:r>
          </w:p>
        </w:tc>
        <w:tc>
          <w:tcPr/>
          <w:p>
            <w:pPr>
              <w:pStyle w:val="Compact"/>
              <w:jc w:val="left"/>
            </w:pPr>
            <w:r>
              <w:t xml:space="preserve">Part 14 PT/PII templates; Part 15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 Complete</w:t>
            </w:r>
          </w:p>
        </w:tc>
        <w:tc>
          <w:tcPr/>
          <w:p>
            <w:pPr>
              <w:pStyle w:val="Compact"/>
              <w:jc w:val="left"/>
            </w:pPr>
            <w:r>
              <w:t xml:space="preserve">BOD 26-04 VDR/VER submission (Dec 7); Authorization package filed; OSCAL AP+AR+POAM bundle (29/29 satisfied)</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 Complete</w:t>
            </w:r>
          </w:p>
        </w:tc>
        <w:tc>
          <w:tcPr/>
          <w:p>
            <w:pPr>
              <w:pStyle w:val="Compact"/>
              <w:jc w:val="left"/>
            </w:pPr>
            <w:r>
              <w:t xml:space="preserve">FedRAMP 20x mandatory deadline; All 16 books operational; Continuous monitoring cadence established</w:t>
            </w:r>
          </w:p>
        </w:tc>
      </w:tr>
      <w:tr>
        <w:tc>
          <w:tcPr/>
          <w:p>
            <w:pPr>
              <w:pStyle w:val="Compact"/>
              <w:jc w:val="left"/>
            </w:pPr>
            <w:r>
              <w:rPr>
                <w:bCs/>
                <w:b/>
              </w:rPr>
              <w:t xml:space="preserve">Phase 6</w:t>
            </w:r>
          </w:p>
        </w:tc>
        <w:tc>
          <w:tcPr/>
          <w:p>
            <w:pPr>
              <w:pStyle w:val="Compact"/>
              <w:jc w:val="left"/>
            </w:pPr>
            <w:r>
              <w:t xml:space="preserve">Ongoing</w:t>
            </w:r>
          </w:p>
        </w:tc>
        <w:tc>
          <w:tcPr/>
          <w:p>
            <w:pPr>
              <w:pStyle w:val="Compact"/>
              <w:jc w:val="left"/>
            </w:pPr>
            <w:r>
              <w:t xml:space="preserve">🔄 Active</w:t>
            </w:r>
          </w:p>
        </w:tc>
        <w:tc>
          <w:tcPr/>
          <w:p>
            <w:pPr>
              <w:pStyle w:val="Compact"/>
              <w:jc w:val="left"/>
            </w:pPr>
            <w:r>
              <w:t xml:space="preserve">Monthly OSCAL AR refresh; Quarterly KSI evidence review; Annual full re-assessment; ATO renewal preparation</w:t>
            </w:r>
          </w:p>
        </w:tc>
      </w:tr>
    </w:tbl>
    <w:p>
      <w:r>
        <w:pict>
          <v:rect style="width:0;height:1.5pt" o:hralign="center" o:hrstd="t" o:hr="t"/>
        </w:pict>
      </w:r>
    </w:p>
    <w:bookmarkEnd w:id="63"/>
    <w:bookmarkStart w:id="64" w:name="technology-recommendations-by-gap"/>
    <w:p>
      <w:pPr>
        <w:pStyle w:val="Heading2"/>
      </w:pPr>
      <w:r>
        <w:rPr>
          <w:rStyle w:val="SectionNumber"/>
        </w:rPr>
        <w:t xml:space="preserve">11.2</w:t>
      </w:r>
      <w:r>
        <w:tab/>
      </w: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9)</w:t>
            </w:r>
          </w:p>
        </w:tc>
      </w:tr>
      <w:tr>
        <w:tc>
          <w:tcPr/>
          <w:p>
            <w:pPr>
              <w:pStyle w:val="Compact"/>
              <w:jc w:val="left"/>
            </w:pPr>
            <w:r>
              <w:t xml:space="preserve">PM metrics</w:t>
            </w:r>
          </w:p>
        </w:tc>
        <w:tc>
          <w:tcPr/>
          <w:p>
            <w:pPr>
              <w:pStyle w:val="Compact"/>
              <w:jc w:val="left"/>
            </w:pPr>
            <w:r>
              <w:t xml:space="preserve">Sentinel workbook for AU/CA/PM KPI dashboard (extends Part 10)</w:t>
            </w:r>
          </w:p>
        </w:tc>
      </w:tr>
    </w:tbl>
    <w:p>
      <w:r>
        <w:pict>
          <v:rect style="width:0;height:1.5pt" o:hralign="center" o:hrstd="t" o:hr="t"/>
        </w:pict>
      </w:r>
    </w:p>
    <w:bookmarkEnd w:id="64"/>
    <w:bookmarkEnd w:id="65"/>
    <w:bookmarkStart w:id="82" w:name="document-references"/>
    <w:p>
      <w:pPr>
        <w:pStyle w:val="Heading1"/>
      </w:pPr>
      <w:r>
        <w:rPr>
          <w:rStyle w:val="SectionNumber"/>
        </w:rPr>
        <w:t xml:space="preserve">12</w:t>
      </w:r>
      <w:r>
        <w:tab/>
      </w: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66">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67">
              <w:r>
                <w:rPr>
                  <w:rStyle w:val="Hyperlink"/>
                </w:rPr>
                <w:t xml:space="preserve">Book 02 — From Mainframe to Application-Aware Modernization</w:t>
              </w:r>
            </w:hyperlink>
          </w:p>
        </w:tc>
        <w:tc>
          <w:tcPr/>
          <w:p>
            <w:pPr>
              <w:pStyle w:val="Compact"/>
              <w:jc w:val="left"/>
            </w:pPr>
            <w:r>
              <w:t xml:space="preserve">Part 2: Amazon Connect N8NN, Teams Phone, SD-WAN/SASE, G.114 compliance, DIA vs. SASE distinction</w:t>
            </w:r>
          </w:p>
        </w:tc>
      </w:tr>
      <w:tr>
        <w:tc>
          <w:tcPr/>
          <w:p>
            <w:pPr>
              <w:pStyle w:val="Compact"/>
              <w:jc w:val="left"/>
            </w:pPr>
            <w:hyperlink r:id="rId68">
              <w:r>
                <w:rPr>
                  <w:rStyle w:val="Hyperlink"/>
                </w:rPr>
                <w:t xml:space="preserve">Book 03 — Federal Telecommunications Modernization</w:t>
              </w:r>
            </w:hyperlink>
          </w:p>
        </w:tc>
        <w:tc>
          <w:tcPr/>
          <w:p>
            <w:pPr>
              <w:pStyle w:val="Compact"/>
              <w:jc w:val="left"/>
            </w:pPr>
            <w:r>
              <w:t xml:space="preserve">Part 3: AD-to-Entra migration, ZTNA, Active Governance control plane, FedRAMP 20x alignment</w:t>
            </w:r>
          </w:p>
        </w:tc>
      </w:tr>
      <w:tr>
        <w:tc>
          <w:tcPr/>
          <w:p>
            <w:pPr>
              <w:pStyle w:val="Compact"/>
              <w:jc w:val="left"/>
            </w:pPr>
            <w:hyperlink r:id="rId69">
              <w:r>
                <w:rPr>
                  <w:rStyle w:val="Hyperlink"/>
                </w:rPr>
                <w:t xml:space="preserve">Book 04 — SQL Server Authentication Modernization</w:t>
              </w:r>
            </w:hyperlink>
          </w:p>
        </w:tc>
        <w:tc>
          <w:tcPr/>
          <w:p>
            <w:pPr>
              <w:pStyle w:val="Compact"/>
              <w:jc w:val="left"/>
            </w:pPr>
            <w:r>
              <w:t xml:space="preserve">Part 4: Arc Managed Identity, Kerberos/NTLM breakdown, login migration, application chain, NIST closure</w:t>
            </w:r>
          </w:p>
        </w:tc>
      </w:tr>
      <w:tr>
        <w:tc>
          <w:tcPr/>
          <w:p>
            <w:pPr>
              <w:pStyle w:val="Compact"/>
              <w:jc w:val="left"/>
            </w:pPr>
            <w:hyperlink r:id="rId70">
              <w:r>
                <w:rPr>
                  <w:rStyle w:val="Hyperlink"/>
                </w:rPr>
                <w:t xml:space="preserve">Book 05 — SQL Server Implementation Guide</w:t>
              </w:r>
            </w:hyperlink>
          </w:p>
        </w:tc>
        <w:tc>
          <w:tcPr/>
          <w:p>
            <w:pPr>
              <w:pStyle w:val="Compact"/>
              <w:jc w:val="left"/>
            </w:pPr>
            <w:r>
              <w:t xml:space="preserve">Part 5: 10-book runbook — estate discovery, Arc deployment, login migration, NTLM elimination, monitoring</w:t>
            </w:r>
          </w:p>
        </w:tc>
      </w:tr>
      <w:tr>
        <w:tc>
          <w:tcPr/>
          <w:p>
            <w:pPr>
              <w:pStyle w:val="Compact"/>
              <w:jc w:val="left"/>
            </w:pPr>
            <w:hyperlink r:id="rId71">
              <w:r>
                <w:rPr>
                  <w:rStyle w:val="Hyperlink"/>
                </w:rPr>
                <w:t xml:space="preserve">Book 06 — Database Consolidation and Network Physics</w:t>
              </w:r>
            </w:hyperlink>
          </w:p>
        </w:tc>
        <w:tc>
          <w:tcPr/>
          <w:p>
            <w:pPr>
              <w:pStyle w:val="Compact"/>
              <w:jc w:val="left"/>
            </w:pPr>
            <w:r>
              <w:t xml:space="preserve">Part 6: SSOT architecture, speed-of-light floor, SD-WAN for database traffic, consistency class alignment</w:t>
            </w:r>
          </w:p>
        </w:tc>
      </w:tr>
      <w:tr>
        <w:tc>
          <w:tcPr/>
          <w:p>
            <w:pPr>
              <w:pStyle w:val="Compact"/>
              <w:jc w:val="left"/>
            </w:pPr>
            <w:hyperlink r:id="rId72">
              <w:r>
                <w:rPr>
                  <w:rStyle w:val="Hyperlink"/>
                </w:rPr>
                <w:t xml:space="preserve">Book 07 — Privileged Access Management</w:t>
              </w:r>
            </w:hyperlink>
          </w:p>
        </w:tc>
        <w:tc>
          <w:tcPr/>
          <w:p>
            <w:pPr>
              <w:pStyle w:val="Compact"/>
              <w:jc w:val="left"/>
            </w:pPr>
            <w:r>
              <w:t xml:space="preserve">Part 7: Entra PIM JIT activation, PAW architecture, AC-5/AC-6 least privilege, IA-11 re-authentication</w:t>
            </w:r>
          </w:p>
        </w:tc>
      </w:tr>
      <w:tr>
        <w:tc>
          <w:tcPr/>
          <w:p>
            <w:pPr>
              <w:pStyle w:val="Compact"/>
              <w:jc w:val="left"/>
            </w:pPr>
            <w:hyperlink r:id="rId73">
              <w:r>
                <w:rPr>
                  <w:rStyle w:val="Hyperlink"/>
                </w:rPr>
                <w:t xml:space="preserve">Book 08 — Vulnerability Management</w:t>
              </w:r>
            </w:hyperlink>
          </w:p>
        </w:tc>
        <w:tc>
          <w:tcPr/>
          <w:p>
            <w:pPr>
              <w:pStyle w:val="Compact"/>
              <w:jc w:val="left"/>
            </w:pPr>
            <w:r>
              <w:t xml:space="preserve">Part 8: Defender VM, CISA KEV integration, RA-5 continuous scanning, SI-2 flaw remediation</w:t>
            </w:r>
          </w:p>
        </w:tc>
      </w:tr>
      <w:tr>
        <w:tc>
          <w:tcPr/>
          <w:p>
            <w:pPr>
              <w:pStyle w:val="Compact"/>
              <w:jc w:val="left"/>
            </w:pPr>
            <w:hyperlink r:id="rId74">
              <w:r>
                <w:rPr>
                  <w:rStyle w:val="Hyperlink"/>
                </w:rPr>
                <w:t xml:space="preserve">Book 09 — Data Protection (Purview + Key Vault CMK)</w:t>
              </w:r>
            </w:hyperlink>
          </w:p>
        </w:tc>
        <w:tc>
          <w:tcPr/>
          <w:p>
            <w:pPr>
              <w:pStyle w:val="Compact"/>
              <w:jc w:val="left"/>
            </w:pPr>
            <w:r>
              <w:t xml:space="preserve">Part 9: Purview DLP and sensitivity labels, Key Vault CMK, MP-2–5, SC-12/13/17/28, AU-10</w:t>
            </w:r>
          </w:p>
        </w:tc>
      </w:tr>
      <w:tr>
        <w:tc>
          <w:tcPr/>
          <w:p>
            <w:pPr>
              <w:pStyle w:val="Compact"/>
              <w:jc w:val="left"/>
            </w:pPr>
            <w:hyperlink r:id="rId75">
              <w:r>
                <w:rPr>
                  <w:rStyle w:val="Hyperlink"/>
                </w:rPr>
                <w:t xml:space="preserve">Book 10 — SIEM / XDR / Detection Engineering</w:t>
              </w:r>
            </w:hyperlink>
          </w:p>
        </w:tc>
        <w:tc>
          <w:tcPr/>
          <w:p>
            <w:pPr>
              <w:pStyle w:val="Compact"/>
              <w:jc w:val="left"/>
            </w:pPr>
            <w:r>
              <w:t xml:space="preserve">Part 10: Microsoft Sentinel, Defender XDR, KQL analytics, SOAR playbooks, SI-4/AU-6/IR-4/6/8</w:t>
            </w:r>
          </w:p>
        </w:tc>
      </w:tr>
      <w:tr>
        <w:tc>
          <w:tcPr/>
          <w:p>
            <w:pPr>
              <w:pStyle w:val="Compact"/>
              <w:jc w:val="left"/>
            </w:pPr>
            <w:hyperlink r:id="rId76">
              <w:r>
                <w:rPr>
                  <w:rStyle w:val="Hyperlink"/>
                </w:rPr>
                <w:t xml:space="preserve">Book 11 — Business Continuity</w:t>
              </w:r>
            </w:hyperlink>
          </w:p>
        </w:tc>
        <w:tc>
          <w:tcPr/>
          <w:p>
            <w:pPr>
              <w:pStyle w:val="Compact"/>
              <w:jc w:val="left"/>
            </w:pPr>
            <w:r>
              <w:t xml:space="preserve">Part 11: CP-2 through CP-8 contingency planning, DR runbooks, Azure Site Recovery</w:t>
            </w:r>
          </w:p>
        </w:tc>
      </w:tr>
      <w:tr>
        <w:tc>
          <w:tcPr/>
          <w:p>
            <w:pPr>
              <w:pStyle w:val="Compact"/>
              <w:jc w:val="left"/>
            </w:pPr>
            <w:hyperlink r:id="rId77">
              <w:r>
                <w:rPr>
                  <w:rStyle w:val="Hyperlink"/>
                </w:rPr>
                <w:t xml:space="preserve">Book 12 — Supply Chain Risk Management</w:t>
              </w:r>
            </w:hyperlink>
          </w:p>
        </w:tc>
        <w:tc>
          <w:tcPr/>
          <w:p>
            <w:pPr>
              <w:pStyle w:val="Compact"/>
              <w:jc w:val="left"/>
            </w:pPr>
            <w:r>
              <w:t xml:space="preserve">Part 12: Syft CycloneDX SBOM pipeline, Grype VDR/VEX, GitHub Actions BOD 26-04 gate, SR-family closure</w:t>
            </w:r>
          </w:p>
        </w:tc>
      </w:tr>
      <w:tr>
        <w:tc>
          <w:tcPr/>
          <w:p>
            <w:pPr>
              <w:pStyle w:val="Compact"/>
              <w:jc w:val="left"/>
            </w:pPr>
            <w:hyperlink r:id="rId78">
              <w:r>
                <w:rPr>
                  <w:rStyle w:val="Hyperlink"/>
                </w:rPr>
                <w:t xml:space="preserve">Book 13 — Program Management and Governance</w:t>
              </w:r>
            </w:hyperlink>
          </w:p>
        </w:tc>
        <w:tc>
          <w:tcPr/>
          <w:p>
            <w:pPr>
              <w:pStyle w:val="Compact"/>
              <w:jc w:val="left"/>
            </w:pPr>
            <w:r>
              <w:t xml:space="preserve">Part 13: ISPP template, POA&amp;M tracker, SCRM Charter, Leadership RACI matrix, PM-family closure</w:t>
            </w:r>
          </w:p>
        </w:tc>
      </w:tr>
      <w:tr>
        <w:tc>
          <w:tcPr/>
          <w:p>
            <w:pPr>
              <w:pStyle w:val="Compact"/>
              <w:jc w:val="left"/>
            </w:pPr>
            <w:hyperlink r:id="rId79">
              <w:r>
                <w:rPr>
                  <w:rStyle w:val="Hyperlink"/>
                </w:rPr>
                <w:t xml:space="preserve">Book 14 — PII Processing and Transparency</w:t>
              </w:r>
            </w:hyperlink>
          </w:p>
        </w:tc>
        <w:tc>
          <w:tcPr/>
          <w:p>
            <w:pPr>
              <w:pStyle w:val="Compact"/>
              <w:jc w:val="left"/>
            </w:pPr>
            <w:r>
              <w:t xml:space="preserve">Part 14: Privacy Program Plan, authority-to-process templates, SORN/PIA scaffolding, Purview Data Map, PT-family closure</w:t>
            </w:r>
          </w:p>
        </w:tc>
      </w:tr>
      <w:tr>
        <w:tc>
          <w:tcPr/>
          <w:p>
            <w:pPr>
              <w:pStyle w:val="Compact"/>
              <w:jc w:val="left"/>
            </w:pPr>
            <w:hyperlink r:id="rId80">
              <w:r>
                <w:rPr>
                  <w:rStyle w:val="Hyperlink"/>
                </w:rPr>
                <w:t xml:space="preserve">Book 15 — Cybersecurity Awareness and Training</w:t>
              </w:r>
            </w:hyperlink>
          </w:p>
        </w:tc>
        <w:tc>
          <w:tcPr/>
          <w:p>
            <w:pPr>
              <w:pStyle w:val="Compact"/>
              <w:jc w:val="left"/>
            </w:pPr>
            <w:r>
              <w:t xml:space="preserve">Part 15: AT-2/AT-3/AT-4 training program, role-based matrices for six tiers, LMS evidence schema, CP-3 tabletop calendar, IR-2 drill documentation, KSI-022 activation</w:t>
            </w:r>
          </w:p>
        </w:tc>
      </w:tr>
      <w:tr>
        <w:tc>
          <w:tcPr/>
          <w:p>
            <w:pPr>
              <w:pStyle w:val="Compact"/>
              <w:jc w:val="left"/>
            </w:pPr>
            <w:hyperlink r:id="rId81">
              <w:r>
                <w:rPr>
                  <w:rStyle w:val="Hyperlink"/>
                </w:rPr>
                <w:t xml:space="preserve">Book 16 — Authorization Package and ConMon</w:t>
              </w:r>
            </w:hyperlink>
          </w:p>
        </w:tc>
        <w:tc>
          <w:tcPr/>
          <w:p>
            <w:pPr>
              <w:pStyle w:val="Compact"/>
              <w:jc w:val="left"/>
            </w:pPr>
            <w:r>
              <w:t xml:space="preserve">Part 16: FedRAMP 20x authorization package structure, OSCAL AP+AR+POA&amp;M bundle (29/29 satisfied), CA-7 ConMon program, BOD 26-04 VDR/VER submission, AO checklist, day-of-submission procedure</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82"/>
    <w:sectPr>
      <w:pgMar w:top="720" w:right="720" w:bottom="72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66" Target="Book_01_Federal_Application_Aware_Networking_SSA_Landing_Zone_IPAM_FedRAMP.qmd" TargetMode="External" /><Relationship Type="http://schemas.openxmlformats.org/officeDocument/2006/relationships/hyperlink" Id="rId67" Target="Book_02_Federal_Application_Aware_Networking_Network_Modernization.qmd" TargetMode="External" /><Relationship Type="http://schemas.openxmlformats.org/officeDocument/2006/relationships/hyperlink" Id="rId68" Target="Book_03_Federal_Application_Aware_Networking_Federal_Telecommunications_Modernization.qmd" TargetMode="External" /><Relationship Type="http://schemas.openxmlformats.org/officeDocument/2006/relationships/hyperlink" Id="rId69" Target="Book_04_Federal_Application_Aware_Networking_SQL_Server_Authentication_Modernization.qmd" TargetMode="External" /><Relationship Type="http://schemas.openxmlformats.org/officeDocument/2006/relationships/hyperlink" Id="rId70" Target="Book_05_Federal_Application_Aware_Networking_SQL_Server_Implementation_Guide.qmd" TargetMode="External" /><Relationship Type="http://schemas.openxmlformats.org/officeDocument/2006/relationships/hyperlink" Id="rId71" Target="Book_06_Federal_Application_Aware_Networking_Database_Consolidation_Network_Physics.qmd" TargetMode="External" /><Relationship Type="http://schemas.openxmlformats.org/officeDocument/2006/relationships/hyperlink" Id="rId72" Target="Book_07_Federal_Application_Aware_Networking_Privileged_Access_Management.qmd" TargetMode="External" /><Relationship Type="http://schemas.openxmlformats.org/officeDocument/2006/relationships/hyperlink" Id="rId73" Target="Book_08_Federal_Application_Aware_Networking_Vulnerability_Management.qmd" TargetMode="External" /><Relationship Type="http://schemas.openxmlformats.org/officeDocument/2006/relationships/hyperlink" Id="rId74" Target="Book_09_Federal_Application_Aware_Networking_Data_Protection_Purview.qmd" TargetMode="External" /><Relationship Type="http://schemas.openxmlformats.org/officeDocument/2006/relationships/hyperlink" Id="rId75" Target="Book_10_Federal_Application_Aware_Networking_SIEM_XDR_Detection.qmd" TargetMode="External" /><Relationship Type="http://schemas.openxmlformats.org/officeDocument/2006/relationships/hyperlink" Id="rId76" Target="Book_11_Federal_Application_Aware_Networking_Business_Continuity.qmd" TargetMode="External" /><Relationship Type="http://schemas.openxmlformats.org/officeDocument/2006/relationships/hyperlink" Id="rId77" Target="Book_12_Federal_Application_Aware_Networking_Supply_Chain_Risk_Management.qmd" TargetMode="External" /><Relationship Type="http://schemas.openxmlformats.org/officeDocument/2006/relationships/hyperlink" Id="rId78" Target="Book_13_Federal_Application_Aware_Networking_Program_Management_Governance.qmd" TargetMode="External" /><Relationship Type="http://schemas.openxmlformats.org/officeDocument/2006/relationships/hyperlink" Id="rId79" Target="Book_14_Federal_Application_Aware_Networking_PII_Processing_Transparency.qmd" TargetMode="External" /><Relationship Type="http://schemas.openxmlformats.org/officeDocument/2006/relationships/hyperlink" Id="rId80" Target="Book_15_Federal_Application_Aware_Networking_Cybersecurity_Training_Awareness.qmd" TargetMode="External" /><Relationship Type="http://schemas.openxmlformats.org/officeDocument/2006/relationships/hyperlink" Id="rId81" Target="Book_16_Federal_Application_Aware_Networking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66" Target="Book_01_Federal_Application_Aware_Networking_SSA_Landing_Zone_IPAM_FedRAMP.qmd" TargetMode="External" /><Relationship Type="http://schemas.openxmlformats.org/officeDocument/2006/relationships/hyperlink" Id="rId67" Target="Book_02_Federal_Application_Aware_Networking_Network_Modernization.qmd" TargetMode="External" /><Relationship Type="http://schemas.openxmlformats.org/officeDocument/2006/relationships/hyperlink" Id="rId68" Target="Book_03_Federal_Application_Aware_Networking_Federal_Telecommunications_Modernization.qmd" TargetMode="External" /><Relationship Type="http://schemas.openxmlformats.org/officeDocument/2006/relationships/hyperlink" Id="rId69" Target="Book_04_Federal_Application_Aware_Networking_SQL_Server_Authentication_Modernization.qmd" TargetMode="External" /><Relationship Type="http://schemas.openxmlformats.org/officeDocument/2006/relationships/hyperlink" Id="rId70" Target="Book_05_Federal_Application_Aware_Networking_SQL_Server_Implementation_Guide.qmd" TargetMode="External" /><Relationship Type="http://schemas.openxmlformats.org/officeDocument/2006/relationships/hyperlink" Id="rId71" Target="Book_06_Federal_Application_Aware_Networking_Database_Consolidation_Network_Physics.qmd" TargetMode="External" /><Relationship Type="http://schemas.openxmlformats.org/officeDocument/2006/relationships/hyperlink" Id="rId72" Target="Book_07_Federal_Application_Aware_Networking_Privileged_Access_Management.qmd" TargetMode="External" /><Relationship Type="http://schemas.openxmlformats.org/officeDocument/2006/relationships/hyperlink" Id="rId73" Target="Book_08_Federal_Application_Aware_Networking_Vulnerability_Management.qmd" TargetMode="External" /><Relationship Type="http://schemas.openxmlformats.org/officeDocument/2006/relationships/hyperlink" Id="rId74" Target="Book_09_Federal_Application_Aware_Networking_Data_Protection_Purview.qmd" TargetMode="External" /><Relationship Type="http://schemas.openxmlformats.org/officeDocument/2006/relationships/hyperlink" Id="rId75" Target="Book_10_Federal_Application_Aware_Networking_SIEM_XDR_Detection.qmd" TargetMode="External" /><Relationship Type="http://schemas.openxmlformats.org/officeDocument/2006/relationships/hyperlink" Id="rId76" Target="Book_11_Federal_Application_Aware_Networking_Business_Continuity.qmd" TargetMode="External" /><Relationship Type="http://schemas.openxmlformats.org/officeDocument/2006/relationships/hyperlink" Id="rId77" Target="Book_12_Federal_Application_Aware_Networking_Supply_Chain_Risk_Management.qmd" TargetMode="External" /><Relationship Type="http://schemas.openxmlformats.org/officeDocument/2006/relationships/hyperlink" Id="rId78" Target="Book_13_Federal_Application_Aware_Networking_Program_Management_Governance.qmd" TargetMode="External" /><Relationship Type="http://schemas.openxmlformats.org/officeDocument/2006/relationships/hyperlink" Id="rId79" Target="Book_14_Federal_Application_Aware_Networking_PII_Processing_Transparency.qmd" TargetMode="External" /><Relationship Type="http://schemas.openxmlformats.org/officeDocument/2006/relationships/hyperlink" Id="rId80" Target="Book_15_Federal_Application_Aware_Networking_Cybersecurity_Training_Awareness.qmd" TargetMode="External" /><Relationship Type="http://schemas.openxmlformats.org/officeDocument/2006/relationships/hyperlink" Id="rId81" Target="Book_16_Federal_Application_Aware_Networking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2026-07-04T23:15:17Z</dcterms:created>
  <dcterms:modified xsi:type="dcterms:W3CDTF">2026-07-04T23:15:17Z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Six Implementation Tracks</vt:lpwstr>
  </property>
</Properties>
</file>