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Modernization Timeline</w:t>
      </w:r>
    </w:p>
    <w:p>
      <w:pPr>
        <w:spacing w:before="120" w:after="120" w:line="276" w:lineRule="auto"/>
      </w:pPr>
      <w:r>
        <w:rPr>
          <w:rFonts w:ascii="Calibri" w:hAnsi="Calibri"/>
          <w:b/>
          <w:i w:val="0"/>
          <w:sz w:val="22"/>
        </w:rPr>
        <w:t>Version 1.0</w:t>
      </w:r>
    </w:p>
    <w:p>
      <w:pPr>
        <w:pStyle w:val="Heading2"/>
      </w:pPr>
      <w:r>
        <w:rPr>
          <w:color w:val="1B3A5C"/>
        </w:rPr>
        <w:t>2. Architectural Foundations</w:t>
      </w:r>
    </w:p>
    <w:p>
      <w:pPr>
        <w:spacing w:before="120" w:after="120" w:line="276" w:lineRule="auto"/>
      </w:pPr>
      <w:r>
        <w:rPr>
          <w:rFonts w:ascii="Calibri" w:hAnsi="Calibri"/>
          <w:sz w:val="22"/>
        </w:rPr>
        <w:t>UIAO consolidates four infrastructure layers that currently operate as separate programs under separate ownership: identity (Active Directory and Entra ID), addressing (DNS/DHCP/IPAM), network routing (TIC-compliant SD-WAN), and telemetry (Splunk correlation feeds). Today these layers are managed by different teams, procured on different cycles, and monitored against different baselines. When something breaks at the intersection — and it regularly does — the diagnosis takes days because no single team owns the full picture.</w:t>
      </w:r>
    </w:p>
    <w:p>
      <w:pPr>
        <w:spacing w:before="120" w:after="120" w:line="276" w:lineRule="auto"/>
      </w:pPr>
      <w:r>
        <w:rPr>
          <w:rFonts w:ascii="Calibri" w:hAnsi="Calibri"/>
          <w:sz w:val="22"/>
        </w:rPr>
        <w:t>The program is organized around four control planes, each with a defined vendor, a defined OSCAL component definition, and a defined set of FedRAMP Moderate controls it satisfies. Identity goes to Entra ID and CyberArk. Network goes to Cisco SD-WAN with TIC 3.0 policy enforcement. Addressing goes to Infoblox DDI. Telemetry goes to Splunk with Palo Alto Prisma for inline inspection.</w:t>
      </w:r>
    </w:p>
    <w:p>
      <w:pPr>
        <w:spacing w:before="120" w:after="120" w:line="276" w:lineRule="auto"/>
      </w:pPr>
      <w:r>
        <w:rPr>
          <w:rFonts w:ascii="Calibri" w:hAnsi="Calibri"/>
          <w:sz w:val="22"/>
        </w:rPr>
        <w:t>Each plane is independently deployable. The agency does not need to cut over everything at once. Phase 1 can deliver cloud-first routing and Entra ID consolidation without touching IPAM. That matters because the legacy PKI dependency in the case management platform cannot be resolved until FY27 at the earliest, and the program is designed to work around it.</w:t>
      </w:r>
    </w:p>
    <w:p>
      <w:pPr>
        <w:spacing w:before="120" w:after="120" w:line="276" w:lineRule="auto"/>
      </w:pPr>
      <w:r>
        <w:rPr>
          <w:rFonts w:ascii="Calibri" w:hAnsi="Calibri"/>
          <w:sz w:val="22"/>
        </w:rPr>
        <w:t>The following diagram illustrates the legacy-to-modernized state transformation that the UIAO program delivers across all four control planes.</w:t>
      </w:r>
    </w:p>
    <w:p>
      <w:pPr>
        <w:pStyle w:val="Heading2"/>
      </w:pPr>
      <w:r>
        <w:rPr>
          <w:color w:val="1B3A5C"/>
        </w:rPr>
        <w:t>4. Implementation Roadmap</w:t>
      </w:r>
    </w:p>
    <w:p>
      <w:pPr>
        <w:spacing w:before="120" w:after="120" w:line="276" w:lineRule="auto"/>
      </w:pPr>
      <w:r>
        <w:rPr>
          <w:rFonts w:ascii="Calibri" w:hAnsi="Calibri"/>
          <w:sz w:val="22"/>
        </w:rPr>
        <w:t>The following diagram provides a phased view of the implementation roadmap, showing how foundations, plane integration, and overlay scaling progress across the program timeline.</w:t>
      </w:r>
    </w:p>
    <w:p>
      <w:pPr>
        <w:pStyle w:val="Heading2"/>
      </w:pPr>
      <w:r>
        <w:rPr>
          <w:color w:val="1B3A5C"/>
        </w:rPr>
        <w:t>6. Workstream Summary</w:t>
      </w:r>
    </w:p>
    <w:p>
      <w:pPr>
        <w:pStyle w:val="Heading2"/>
      </w:pPr>
      <w:r>
        <w:rPr>
          <w:color w:val="1B3A5C"/>
        </w:rPr>
        <w:t>8. Mission-to-Technology Mapping</w:t>
      </w:r>
    </w:p>
    <w:p>
      <w:pPr>
        <w:spacing w:before="120" w:after="120" w:line="276" w:lineRule="auto"/>
      </w:pPr>
      <w:r>
        <w:rPr>
          <w:rFonts w:ascii="Calibri" w:hAnsi="Calibri"/>
          <w:sz w:val="22"/>
        </w:rPr>
        <w:t>The following diagram maps the technical control planes to the strategic outcomes they enable, demonstrating how each investment drives measurable mission value.</w:t>
      </w:r>
    </w:p>
    <w:p>
      <w:pPr>
        <w:spacing w:before="120" w:after="120" w:line="276" w:lineRule="auto"/>
      </w:pPr>
      <w:r>
        <w:rPr>
          <w:rFonts w:ascii="Calibri" w:hAnsi="Calibri"/>
          <w:b w:val="0"/>
          <w:i/>
          <w:sz w:val="22"/>
        </w:rPr>
        <w:t>Generated from UIAO data layer — Modernization Timeline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