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 IX Book 01 — Federal Application-Aware Networking — Helpdesk &amp; ITSM Catalog</w:t>
      </w:r>
    </w:p>
    <w:p>
      <w:pPr>
        <w:pStyle w:val="Subtitle"/>
      </w:pPr>
      <w:r>
        <w:t xml:space="preserve">The common Entra · M365 · Azure operator tasks as governed, control-mapped ServiceNow catalog items</w:t>
      </w:r>
    </w:p>
    <w:p>
      <w:pPr>
        <w:pStyle w:val="Author"/>
      </w:pPr>
      <w:r>
        <w:t xml:space="preserve">SSA Cloud Services Team</w:t>
      </w:r>
    </w:p>
    <w:p>
      <w:pPr>
        <w:pStyle w:val="Date"/>
      </w:pPr>
      <w:r>
        <w:t xml:space="preserve">2026-07-12 15:00 ET</w:t>
      </w:r>
    </w:p>
    <w:p>
      <w:pPr>
        <w:pStyle w:val="FouoBanner"/>
      </w:pPr>
      <w:r>
        <w:t xml:space="preserve">INTERNAL — NOT FOR PUBLIC DISTRIBUTION</w:t>
      </w:r>
    </w:p>
    <w:bookmarkStart w:id="9" w:name="draft-proposal-subject-to-review"/>
    <w:p>
      <w:pPr>
        <w:pStyle w:val="Heading2"/>
      </w:pPr>
      <w:r>
        <w:t xml:space="preserve">Draft Proposal — Subject to Review</w:t>
      </w:r>
    </w:p>
    <w:p>
      <w:pPr>
        <w:pStyle w:val="CalloutWarning"/>
      </w:pPr>
      <w:r>
        <w:t xml:space="preserve">Developed by the</w:t>
      </w:r>
      <w:r>
        <w:t xml:space="preserve"> </w:t>
      </w:r>
      <w:r>
        <w:rPr>
          <w:b/>
          <w:bCs/>
        </w:rPr>
        <w:t xml:space="preserve">CSI Team (Cloud Services Infrastructure)</w:t>
      </w:r>
      <w:r>
        <w:t xml:space="preserve">; not yet reviewed or approved by the SSA CIO Office, OIS, or leadership.</w:t>
      </w:r>
      <w:r>
        <w:t xml:space="preserve"> </w:t>
      </w:r>
      <w:r>
        <w:rPr>
          <w:b/>
          <w:bCs/>
        </w:rPr>
        <w:t xml:space="preserve">Date Code:</w:t>
      </w:r>
      <w:r>
        <w:t xml:space="preserve"> </w:t>
      </w:r>
      <w:r>
        <w:t xml:space="preserve">2026-07-12 15:00 ET</w:t>
      </w:r>
    </w:p>
    <w:bookmarkEnd w:id="9"/>
    <w:p>
      <w:pPr>
        <w:pStyle w:val="CalloutImportant"/>
      </w:pPr>
      <w:r>
        <w:rPr>
          <w:b/>
          <w:bCs/>
        </w:rPr>
        <w:t xml:space="preserve">Series Context</w:t>
      </w:r>
      <w:r>
        <w:t xml:space="preserve"> </w:t>
      </w:r>
      <w:r>
        <w:t xml:space="preserve">— Volume IX Book 01. The highest-volume day-2 surface: the everyday Entra / M365 / Azure help-desk requests — joiner/mover/leaver, credential resets, group and license grants, guest invites. This book turns each into a typed, control-mapped ServiceNow catalog item actuated through the in-boundary MID, so routine operations produce compliance evidence instead of eroding it.</w:t>
      </w:r>
    </w:p>
    <w:bookmarkStart w:id="10" w:name="what-this-document-addresses"/>
    <w:p>
      <w:pPr>
        <w:pStyle w:val="Heading1"/>
      </w:pPr>
      <w:r>
        <w:t xml:space="preserve">What This Document Addresses</w:t>
      </w:r>
    </w:p>
    <w:p>
      <w:pPr>
        <w:pStyle w:val="FirstParagraph"/>
      </w:pPr>
      <w:r>
        <w:t xml:space="preserve">A service desk performs hundreds of identity changes a week. Each one — a new account, a password reset, a group add — is a change to an identity-attributed surface that a control governs (AC-2, IA-5, AC-6). Performed as a portal click by a standing-admin operator, it is ungoverned, unevidenced, and least-privilege only by hope. Multiplied across a week, that is the largest continuous source of control erosion in the estate.</w:t>
      </w:r>
    </w:p>
    <w:p>
      <w:pPr>
        <w:pStyle w:val="BodyText"/>
      </w:pPr>
      <w:r>
        <w:t xml:space="preserve">This book expresses those requests as governed catalog items. The machine-readable binding lives in</w:t>
      </w:r>
      <w:r>
        <w:t xml:space="preserve"> </w:t>
      </w:r>
      <w:r>
        <w:rPr>
          <w:rStyle w:val="VerbatimChar"/>
          <w:b/>
          <w:bCs/>
        </w:rPr>
        <w:t xml:space="preserve">servicenow-day2/helpdesk-control-map.json</w:t>
      </w:r>
      <w:r>
        <w:t xml:space="preserve"> </w:t>
      </w:r>
      <w:r>
        <w:t xml:space="preserve">— each item mapped to its control, approval gate, KSI, and evidence slot, a projection of the compliance spine and CI-checked against it.</w:t>
      </w:r>
    </w:p>
    <w:bookmarkEnd w:id="10"/>
    <w:bookmarkStart w:id="11" w:name="the-catalog"/>
    <w:p>
      <w:pPr>
        <w:pStyle w:val="Heading1"/>
      </w:pPr>
      <w:r>
        <w:t xml:space="preserve">The Catalog</w:t>
      </w:r>
    </w:p>
    <w:p>
      <w:pPr>
        <w:pStyle w:val="FirstParagraph"/>
      </w:pPr>
      <w:r>
        <w:t xml:space="preserve">Ten items across three families. Each is a request, not a click; each carries the approval gate its control requires.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Catalog item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Approval gate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account (Joiner)</w:t>
            </w:r>
          </w:p>
        </w:tc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manager + identity</w:t>
            </w:r>
          </w:p>
        </w:tc>
        <w:tc>
          <w:tcPr/>
          <w:p>
            <w:pPr>
              <w:pStyle w:val="Compact"/>
            </w:pPr>
            <w:r>
              <w:t xml:space="preserve">Provision from the HRIT SSOT (Vol I Book 04); least-privilege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Role/scope change (Mover)</w:t>
            </w:r>
          </w:p>
        </w:tc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manager + identity</w:t>
            </w:r>
          </w:p>
        </w:tc>
        <w:tc>
          <w:tcPr/>
          <w:p>
            <w:pPr>
              <w:pStyle w:val="Compact"/>
            </w:pPr>
            <w:r>
              <w:t xml:space="preserve">Access review on change; remove stale entitlements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De-provision (Leaver)</w:t>
            </w:r>
          </w:p>
        </w:tc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manager + identity</w:t>
            </w:r>
          </w:p>
        </w:tc>
        <w:tc>
          <w:tcPr/>
          <w:p>
            <w:pPr>
              <w:pStyle w:val="Compact"/>
            </w:pPr>
            <w:r>
              <w:t xml:space="preserve">Evidenced: disable, revoke sessions, reassign owned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t xml:space="preserve">IA-5</w:t>
            </w:r>
          </w:p>
        </w:tc>
        <w:tc>
          <w:tcPr/>
          <w:p>
            <w:pPr>
              <w:pStyle w:val="Compact"/>
            </w:pPr>
            <w:r>
              <w:t xml:space="preserve">self-service / service-desk</w:t>
            </w:r>
          </w:p>
        </w:tc>
        <w:tc>
          <w:tcPr/>
          <w:p>
            <w:pPr>
              <w:pStyle w:val="Compact"/>
            </w:pPr>
            <w:r>
              <w:t xml:space="preserve">SSPR where policy allows; else identity-verified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MFA-method reset</w:t>
            </w:r>
          </w:p>
        </w:tc>
        <w:tc>
          <w:tcPr/>
          <w:p>
            <w:pPr>
              <w:pStyle w:val="Compact"/>
            </w:pPr>
            <w:r>
              <w:t xml:space="preserve">IA-5</w:t>
            </w:r>
          </w:p>
        </w:tc>
        <w:tc>
          <w:tcPr/>
          <w:p>
            <w:pPr>
              <w:pStyle w:val="Compact"/>
            </w:pPr>
            <w:r>
              <w:t xml:space="preserve">service-desk + verify</w:t>
            </w:r>
          </w:p>
        </w:tc>
        <w:tc>
          <w:tcPr/>
          <w:p>
            <w:pPr>
              <w:pStyle w:val="Compact"/>
            </w:pPr>
            <w:r>
              <w:t xml:space="preserve">Identity-proofing required; log + alert (social-engineering target)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unlock</w:t>
            </w:r>
          </w:p>
        </w:tc>
        <w:tc>
          <w:tcPr/>
          <w:p>
            <w:pPr>
              <w:pStyle w:val="Compact"/>
            </w:pPr>
            <w:r>
              <w:t xml:space="preserve">IA-5</w:t>
            </w:r>
          </w:p>
        </w:tc>
        <w:tc>
          <w:tcPr/>
          <w:p>
            <w:pPr>
              <w:pStyle w:val="Compact"/>
            </w:pPr>
            <w:r>
              <w:t xml:space="preserve">self-service / service-desk</w:t>
            </w:r>
          </w:p>
        </w:tc>
        <w:tc>
          <w:tcPr/>
          <w:p>
            <w:pPr>
              <w:pStyle w:val="Compact"/>
            </w:pPr>
            <w:r>
              <w:t xml:space="preserve">Repeated unlocks are a Vol VII Book 02 detection signal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Group membership</w:t>
            </w:r>
          </w:p>
        </w:tc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owner + approver</w:t>
            </w:r>
          </w:p>
        </w:tc>
        <w:tc>
          <w:tcPr/>
          <w:p>
            <w:pPr>
              <w:pStyle w:val="Compact"/>
            </w:pPr>
            <w:r>
              <w:t xml:space="preserve">Time-bound where elevated; access-review linked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 assignment</w:t>
            </w:r>
          </w:p>
        </w:tc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Group-based licensing preferred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Conditional-Access exception</w:t>
            </w:r>
          </w:p>
        </w:tc>
        <w:tc>
          <w:tcPr/>
          <w:p>
            <w:pPr>
              <w:pStyle w:val="Compact"/>
            </w:pPr>
            <w:r>
              <w:t xml:space="preserve">AC-3</w:t>
            </w:r>
          </w:p>
        </w:tc>
        <w:tc>
          <w:tcPr/>
          <w:p>
            <w:pPr>
              <w:pStyle w:val="Compact"/>
            </w:pPr>
            <w:r>
              <w:t xml:space="preserve">security approver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Reuse Vol VII Book 02</w:t>
            </w:r>
            <w:r>
              <w:t xml:space="preserve"> </w:t>
            </w:r>
            <w:r>
              <w:t xml:space="preserve">— mandatory expiry +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/ B2B invite</w:t>
            </w:r>
          </w:p>
        </w:tc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sponsor + security</w:t>
            </w:r>
          </w:p>
        </w:tc>
        <w:tc>
          <w:tcPr/>
          <w:p>
            <w:pPr>
              <w:pStyle w:val="Compact"/>
            </w:pPr>
            <w:r>
              <w:t xml:space="preserve">Sponsor + expiry</w:t>
            </w:r>
          </w:p>
        </w:tc>
      </w:tr>
    </w:tbl>
    <w:p>
      <w:pPr>
        <w:pStyle w:val="CalloutNote"/>
      </w:pPr>
      <w:r>
        <w:rPr>
          <w:b/>
          <w:bCs/>
        </w:rPr>
        <w:t xml:space="preserve">Reuse, don’t reinvent.</w:t>
      </w:r>
      <w:r>
        <w:t xml:space="preserve"> </w:t>
      </w:r>
      <w:r>
        <w:t xml:space="preserve">The Conditional-Access exception item is the same pattern Vol VII Book 02 already models (mandatory break-glass exclusion, expiry, access review). The help-desk catalog</w:t>
      </w:r>
      <w:r>
        <w:t xml:space="preserve"> </w:t>
      </w:r>
      <w:r>
        <w:rPr>
          <w:i/>
          <w:iCs/>
        </w:rPr>
        <w:t xml:space="preserve">invokes</w:t>
      </w:r>
      <w:r>
        <w:t xml:space="preserve"> </w:t>
      </w:r>
      <w:r>
        <w:t xml:space="preserve">it; it does not fork a second CA-exception path.</w:t>
      </w:r>
    </w:p>
    <w:bookmarkEnd w:id="11"/>
    <w:bookmarkStart w:id="16" w:name="the-request-loop"/>
    <w:p>
      <w:pPr>
        <w:pStyle w:val="Heading1"/>
      </w:pPr>
      <w:r>
        <w:t xml:space="preserve">The Request Loop</w:t>
      </w:r>
    </w:p>
    <w:bookmarkStart w:id="15" w:name="fig-vol9b01-loop"/>
    <w:p>
      <w:pPr>
        <w:pStyle w:val="CaptionedFigure"/>
      </w:pPr>
      <w:r>
        <w:drawing>
          <wp:inline>
            <wp:extent cx="5334000" cy="3000375"/>
            <wp:effectExtent b="0" l="0" r="0" t="0"/>
            <wp:docPr descr="The helpdesk request loop — preflight safety, approve, actuate via the in-boundary MID, verify, close with evidence" title="" id="13" name="Picture"/>
            <a:graphic>
              <a:graphicData uri="http://schemas.openxmlformats.org/drawingml/2006/picture">
                <pic:pic>
                  <pic:nvPicPr>
                    <pic:cNvPr descr="figs/vol9b01-fig-01-request-loop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helpdesk request loop — preflight safety, approve, actuate via the in-boundary MID, verify, close with evidence</w:t>
      </w:r>
    </w:p>
    <w:bookmarkEnd w:id="15"/>
    <w:p>
      <w:pPr>
        <w:pStyle w:val="BodyText"/>
      </w:pPr>
      <w:r>
        <w:t xml:space="preserve">Every item runs the same governed loop — the day-2 analogue of the Vol VII compliance loop: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</w:t>
      </w:r>
      <w:r>
        <w:t xml:space="preserve"> </w:t>
      </w:r>
      <w:r>
        <w:t xml:space="preserve">— a typed catalog item against the reconciled identity CI, with the requester, target, and justification.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Approve</w:t>
      </w:r>
      <w:r>
        <w:t xml:space="preserve"> </w:t>
      </w:r>
      <w:r>
        <w:t xml:space="preserve">— the gate the control requires (self-service, manager, identity, owner, or security approver — per the control map).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Actuate</w:t>
      </w:r>
      <w:r>
        <w:t xml:space="preserve"> </w:t>
      </w:r>
      <w:r>
        <w:t xml:space="preserve">— Microsoft Graph</w:t>
      </w:r>
      <w:r>
        <w:t xml:space="preserve"> </w:t>
      </w:r>
      <w:r>
        <w:rPr>
          <w:b/>
          <w:bCs/>
        </w:rPr>
        <w:t xml:space="preserve">through the in-boundary MID Server</w:t>
      </w:r>
      <w:r>
        <w:t xml:space="preserve">; the connector holds scoped, logged, individually-approved write —</w:t>
      </w:r>
      <w:r>
        <w:t xml:space="preserve"> </w:t>
      </w:r>
      <w:r>
        <w:rPr>
          <w:b/>
          <w:bCs/>
        </w:rPr>
        <w:t xml:space="preserve">never standing tenant admin</w:t>
      </w:r>
      <w:r>
        <w:t xml:space="preserve"> </w:t>
      </w:r>
      <w:r>
        <w:t xml:space="preserve">(AC-6).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</w:t>
      </w:r>
      <w:r>
        <w:t xml:space="preserve"> </w:t>
      </w:r>
      <w:r>
        <w:t xml:space="preserve">— the request, approval, and Graph result become a change record (CM-3 / AU-2) reconciled to the CM-8 CMDB, feeding Vol VII Book 04 attestation.</w:t>
      </w:r>
    </w:p>
    <w:p>
      <w:pPr>
        <w:pStyle w:val="CalloutImportant"/>
      </w:pPr>
      <w:r>
        <w:rPr>
          <w:b/>
          <w:bCs/>
        </w:rPr>
        <w:t xml:space="preserve">The leaver is the one that fails audits.</w:t>
      </w:r>
      <w:r>
        <w:t xml:space="preserve"> </w:t>
      </w:r>
      <w:r>
        <w:t xml:space="preserve">De-provisioning is an</w:t>
      </w:r>
      <w:r>
        <w:t xml:space="preserve"> </w:t>
      </w:r>
      <w:r>
        <w:rPr>
          <w:i/>
          <w:iCs/>
        </w:rPr>
        <w:t xml:space="preserve">evidenced obligation</w:t>
      </w:r>
      <w:r>
        <w:t xml:space="preserve">, not a courtesy: disable the account, revoke active sessions and refresh tokens, and reassign owned objects (groups, app ownerships, mailboxes). A leaver</w:t>
      </w:r>
      <w:r>
        <w:t xml:space="preserve"> </w:t>
      </w:r>
      <w:r>
        <w:t xml:space="preserve">“done”</w:t>
      </w:r>
      <w:r>
        <w:t xml:space="preserve"> </w:t>
      </w:r>
      <w:r>
        <w:t xml:space="preserve">with no evidence trail is an orphaned-credential finding waiting to happen — the exact gap the audited catalog closes.</w:t>
      </w:r>
    </w:p>
    <w:bookmarkEnd w:id="16"/>
    <w:bookmarkStart w:id="18" w:name="closure-necessity"/>
    <w:p>
      <w:pPr>
        <w:pStyle w:val="Heading1"/>
      </w:pPr>
      <w:r>
        <w:t xml:space="preserve">Closure Necessity</w:t>
      </w:r>
    </w:p>
    <w:bookmarkStart w:id="17" w:name="Xd54c9857bf12b5efb6f1d9bb5e76f2f229cccf1"/>
    <w:p>
      <w:pPr>
        <w:pStyle w:val="Heading2"/>
      </w:pPr>
      <w:r>
        <w:t xml:space="preserve">Closure Necessity — the help desk is a control surface, not a convenience</w:t>
      </w:r>
    </w:p>
    <w:p>
      <w:pPr>
        <w:pStyle w:val="CalloutTip"/>
      </w:pPr>
      <w:r>
        <w:t xml:space="preserve">Volumes I and VII establish that verified identity, phishing-resistant auth, and least privilege are the mechanisms. This book makes the</w:t>
      </w:r>
      <w:r>
        <w:t xml:space="preserve"> </w:t>
      </w:r>
      <w:r>
        <w:rPr>
          <w:i/>
          <w:iCs/>
        </w:rPr>
        <w:t xml:space="preserve">routine exercise</w:t>
      </w:r>
      <w:r>
        <w:t xml:space="preserve"> </w:t>
      </w:r>
      <w:r>
        <w:t xml:space="preserve">of those mechanisms governed and evidenced. Without it, AC-2, IA-5, and AC-6 are eroded a hundred small clicks at a time — each unlogged, each least-privilege by hope. The catalog does not add a new control; it stops the highest-frequency operations from quietly dismantling the ones already claimed.</w:t>
      </w:r>
    </w:p>
    <w:bookmarkEnd w:id="17"/>
    <w:bookmarkEnd w:id="18"/>
    <w:bookmarkStart w:id="19" w:name="Xebd9fbc0874ac437cee95afe649484f9b290fc1"/>
    <w:p>
      <w:pPr>
        <w:pStyle w:val="Heading1"/>
      </w:pPr>
      <w:r>
        <w:t xml:space="preserve">NIST SP 800-53 Rev 5 Control Closure — Authorities Closed Here</w:t>
      </w:r>
    </w:p>
    <w:p>
      <w:pPr>
        <w:pStyle w:val="FirstParagraph"/>
      </w:pPr>
      <w:r>
        <w:t xml:space="preserve">Generated from the compliance spine (</w:t>
      </w:r>
      <w:r>
        <w:rPr>
          <w:rStyle w:val="VerbatimChar"/>
        </w:rPr>
        <w:t xml:space="preserve">aan-compliance-spine.yml</w:t>
      </w:r>
      <w:r>
        <w:t xml:space="preserve">) by</w:t>
      </w:r>
      <w:r>
        <w:t xml:space="preserve"> </w:t>
      </w:r>
      <w:r>
        <w:rPr>
          <w:rStyle w:val="VerbatimChar"/>
        </w:rPr>
        <w:t xml:space="preserve">render_authorities_table.py</w:t>
      </w:r>
      <w:r>
        <w:t xml:space="preserve">; not hand-edited here.</w:t>
      </w:r>
    </w:p>
    <w:p>
      <w:pPr>
        <w:pStyle w:val="TableCaption"/>
      </w:pPr>
      <w:r>
        <w:t xml:space="preserve">Authorities Closed Here — Helpdesk &amp; ITSM Catalog (Entra · M365 · Azure) († = Closure-Necessity anchor: no alternate closure path)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uthorities Closed Here — Helpdesk &amp; ITSM Catalog (Entra · M365 · Azure) († = Closure-Necessity anchor: no alternate closure path)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Closing mechanism (function, not product)</w:t>
            </w:r>
          </w:p>
        </w:tc>
        <w:tc>
          <w:tcPr/>
          <w:p>
            <w:pPr>
              <w:pStyle w:val="Compact"/>
            </w:pPr>
            <w:r>
              <w:t xml:space="preserve">Accreditation gate</w:t>
            </w:r>
          </w:p>
        </w:tc>
        <w:tc>
          <w:tcPr/>
          <w:p>
            <w:pPr>
              <w:pStyle w:val="Compact"/>
            </w:pPr>
            <w:r>
              <w:t xml:space="preserve">Authority drivers</w:t>
            </w:r>
          </w:p>
        </w:tc>
        <w:tc>
          <w:tcPr/>
          <w:p>
            <w:pPr>
              <w:pStyle w:val="Compact"/>
            </w:pPr>
            <w:r>
              <w:t xml:space="preserve">Evidence slot</w:t>
            </w:r>
          </w:p>
        </w:tc>
        <w:tc>
          <w:tcPr/>
          <w:p>
            <w:pPr>
              <w:pStyle w:val="Compact"/>
            </w:pPr>
            <w:r>
              <w:t xml:space="preserve">FedRAMP 20x KSI</w:t>
            </w:r>
          </w:p>
        </w:tc>
        <w:tc>
          <w:tcPr/>
          <w:p>
            <w:pPr>
              <w:pStyle w:val="Compact"/>
            </w:pPr>
            <w:r>
              <w:t xml:space="preserve">Tool-attestable?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AC-2</w:t>
            </w:r>
          </w:p>
        </w:tc>
        <w:tc>
          <w:tcPr/>
          <w:p>
            <w:pPr>
              <w:pStyle w:val="Compact"/>
            </w:pPr>
            <w:r>
              <w:t xml:space="preserve">Account Management</w:t>
            </w:r>
          </w:p>
        </w:tc>
        <w:tc>
          <w:tcPr/>
          <w:p>
            <w:pPr>
              <w:pStyle w:val="Compact"/>
            </w:pPr>
            <w:r>
              <w:t xml:space="preserve">Joiner/mover/leaver, guest invite, and license/group requests as governed ServiceNow catalog items over Entra (Graph via in-boundary MID); leaver de-provisioning evidenced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OMB M-22-09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AC-6</w:t>
            </w:r>
          </w:p>
        </w:tc>
        <w:tc>
          <w:tcPr/>
          <w:p>
            <w:pPr>
              <w:pStyle w:val="Compact"/>
            </w:pPr>
            <w:r>
              <w:t xml:space="preserve">Least Privilege</w:t>
            </w:r>
          </w:p>
        </w:tc>
        <w:tc>
          <w:tcPr/>
          <w:p>
            <w:pPr>
              <w:pStyle w:val="Compact"/>
            </w:pPr>
            <w:r>
              <w:t xml:space="preserve">Group and privileged-access requests time-bound and access-reviewed; no standing elevation granted by a helpdesk click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5; OMB M-22-09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IA-5</w:t>
            </w:r>
          </w:p>
        </w:tc>
        <w:tc>
          <w:tcPr/>
          <w:p>
            <w:pPr>
              <w:pStyle w:val="Compact"/>
            </w:pPr>
            <w:r>
              <w:t xml:space="preserve">Authenticator Management</w:t>
            </w:r>
          </w:p>
        </w:tc>
        <w:tc>
          <w:tcPr/>
          <w:p>
            <w:pPr>
              <w:pStyle w:val="Compact"/>
            </w:pPr>
            <w:r>
              <w:t xml:space="preserve">Password reset, MFA-method reset, and account unlock as identity-verified catalog items (self-service via SSPR where policy allows; else approver-gated)</w:t>
            </w:r>
          </w:p>
        </w:tc>
        <w:tc>
          <w:tcPr/>
          <w:p>
            <w:pPr>
              <w:pStyle w:val="Compact"/>
            </w:pPr>
            <w:r>
              <w:t xml:space="preserve">FedRAMP Moderate</w:t>
            </w:r>
          </w:p>
        </w:tc>
        <w:tc>
          <w:tcPr/>
          <w:p>
            <w:pPr>
              <w:pStyle w:val="Compact"/>
            </w:pPr>
            <w:r>
              <w:t xml:space="preserve">NIST SP 800-53 Rev 5</w:t>
            </w:r>
          </w:p>
        </w:tc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KSI-IAM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19"/>
    <w:bookmarkStart w:id="20" w:name="honest-limits"/>
    <w:p>
      <w:pPr>
        <w:pStyle w:val="Heading1"/>
      </w:pPr>
      <w:r>
        <w:t xml:space="preserve">Honest Limits</w:t>
      </w:r>
    </w:p>
    <w:p>
      <w:pPr>
        <w:pStyle w:val="Compact"/>
        <w:numPr>
          <w:ilvl w:val="0"/>
          <w:numId w:val="1002"/>
        </w:numPr>
      </w:pPr>
      <w:r>
        <w:t xml:space="preserve">Self-service items (SSPR, unlock) are only as strong as the tenant’s authentication-method policy; a weak SSPR policy is a Vol VI Book 02 configuration concern, not a catalog fix.</w:t>
      </w:r>
    </w:p>
    <w:p>
      <w:pPr>
        <w:pStyle w:val="Compact"/>
        <w:numPr>
          <w:ilvl w:val="0"/>
          <w:numId w:val="1002"/>
        </w:numPr>
      </w:pPr>
      <w:r>
        <w:t xml:space="preserve">The catalog governs the</w:t>
      </w:r>
      <w:r>
        <w:t xml:space="preserve"> </w:t>
      </w:r>
      <w:r>
        <w:rPr>
          <w:i/>
          <w:iCs/>
        </w:rPr>
        <w:t xml:space="preserve">request</w:t>
      </w:r>
      <w:r>
        <w:t xml:space="preserve">; a standing global administrator can still act out of band — Vol VII Book 03 detections and access reviews catch that.</w:t>
      </w:r>
    </w:p>
    <w:p>
      <w:pPr>
        <w:pStyle w:val="Compact"/>
        <w:numPr>
          <w:ilvl w:val="0"/>
          <w:numId w:val="1002"/>
        </w:numPr>
      </w:pPr>
      <w:r>
        <w:t xml:space="preserve">Substituting the ITSM platform changes the catalog and connector syntax; the request→approve→actuate-via-MID→evidence discipline is invariant.</w:t>
      </w:r>
    </w:p>
    <w:bookmarkEnd w:id="20"/>
    <w:bookmarkStart w:id="21" w:name="cross-references"/>
    <w:p>
      <w:pPr>
        <w:pStyle w:val="Heading1"/>
      </w:pPr>
      <w:r>
        <w:t xml:space="preserve">Cross-References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servicenow-day2/helpdesk-control-map.json</w:t>
      </w:r>
      <w:r>
        <w:t xml:space="preserve"> </w:t>
      </w:r>
      <w:r>
        <w:t xml:space="preserve">— the machine-readable catalog → control binding this book documents.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 I Book 04 (HRIT Identity SSOT)</w:t>
      </w:r>
      <w:r>
        <w:t xml:space="preserve"> </w:t>
      </w:r>
      <w:r>
        <w:t xml:space="preserve">— the identity source of truth the JML items provision from.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 VII Book 02</w:t>
      </w:r>
      <w:r>
        <w:t xml:space="preserve"> </w:t>
      </w:r>
      <w:r>
        <w:t xml:space="preserve">— the Conditional-Access exception pattern this catalog reuses;</w:t>
      </w:r>
      <w:r>
        <w:t xml:space="preserve"> </w:t>
      </w:r>
      <w:r>
        <w:rPr>
          <w:b/>
          <w:bCs/>
        </w:rPr>
        <w:t xml:space="preserve">Vol VII Book 04</w:t>
      </w:r>
      <w:r>
        <w:t xml:space="preserve"> </w:t>
      </w:r>
      <w:r>
        <w:t xml:space="preserve">— where the audited actions become attestation.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 IX Book 03</w:t>
      </w:r>
      <w:r>
        <w:t xml:space="preserve"> </w:t>
      </w:r>
      <w:r>
        <w:t xml:space="preserve">— app-registration governance (service-principal identity lifecycle, the machine analogue of JML).</w:t>
      </w:r>
    </w:p>
    <w:bookmarkEnd w:id="21"/>
    <w:bookmarkStart w:id="22" w:name="provenance"/>
    <w:p>
      <w:pPr>
        <w:pStyle w:val="Heading1"/>
      </w:pPr>
      <w:r>
        <w:t xml:space="preserve">Provenance</w:t>
      </w:r>
    </w:p>
    <w:p>
      <w:pPr>
        <w:pStyle w:val="FirstParagraph"/>
      </w:pPr>
      <w:r>
        <w:t xml:space="preserve">Draft. ServiceNow, Microsoft Graph, and Entra are deployed examples; the request→approve→actuate-native→evidence discipline is the invariant. Vendor claims cite vendor documentation. The figure above is authored as committed house-style SVG per ADR-093, rendered to PNG at 3× for crisp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zoom.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alloutWarning" w:type="paragraph">
    <w:name w:val="CalloutWarning"/>
    <w:basedOn w:val="BodyText"/>
    <w:pPr>
      <w:shd w:color="auto" w:fill="FBF3E4" w:val="clear"/>
      <w:pBdr>
        <w:top w:color="C9D4E0" w:space="6" w:sz="4" w:val="single"/>
        <w:left w:color="D4860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Important" w:type="paragraph">
    <w:name w:val="CalloutImportant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Note" w:type="paragraph">
    <w:name w:val="CalloutNote"/>
    <w:basedOn w:val="BodyText"/>
    <w:pPr>
      <w:shd w:color="auto" w:fill="F3F5F8" w:val="clear"/>
      <w:pBdr>
        <w:top w:color="C9D4E0" w:space="6" w:sz="4" w:val="single"/>
        <w:left w:color="5A6B7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Tip" w:type="paragraph">
    <w:name w:val="CalloutTip"/>
    <w:basedOn w:val="BodyText"/>
    <w:pPr>
      <w:shd w:color="auto" w:fill="E6F5F2" w:val="clear"/>
      <w:pBdr>
        <w:top w:color="C9D4E0" w:space="6" w:sz="4" w:val="single"/>
        <w:left w:color="1A9E8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CalloutCaution" w:type="paragraph">
    <w:name w:val="CalloutCaution"/>
    <w:basedOn w:val="BodyText"/>
    <w:pPr>
      <w:shd w:color="auto" w:fill="F9EAE8" w:val="clear"/>
      <w:pBdr>
        <w:top w:color="C9D4E0" w:space="6" w:sz="4" w:val="single"/>
        <w:left w:color="C0392B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ExecSummary" w:type="paragraph">
    <w:name w:val="ExecSummary"/>
    <w:basedOn w:val="BodyText"/>
    <w:pPr>
      <w:shd w:color="auto" w:fill="EDF3F9" w:val="clear"/>
      <w:pBdr>
        <w:top w:color="C9D4E0" w:space="6" w:sz="4" w:val="single"/>
        <w:left w:color="1F3A5F" w:space="6" w:sz="24" w:val="single"/>
        <w:bottom w:color="C9D4E0" w:space="6" w:sz="4" w:val="single"/>
        <w:right w:color="C9D4E0" w:space="6" w:sz="4" w:val="single"/>
      </w:pBdr>
      <w:spacing w:after="60" w:before="60"/>
      <w:ind w:left="120" w:right="120"/>
    </w:pPr>
    <w:rPr>
      <w:color w:val="2A2A2A"/>
    </w:rPr>
  </w:style>
  <w:style w:customStyle="1" w:styleId="FouoBanner" w:type="paragraph">
    <w:name w:val="FouoBanner"/>
    <w:basedOn w:val="Normal"/>
    <w:pPr>
      <w:shd w:color="auto" w:fill="F9EAE8" w:val="clear"/>
      <w:jc w:val="center"/>
      <w:spacing w:after="60" w:before="60"/>
      <w:ind w:left="120" w:right="120"/>
    </w:pPr>
    <w:rPr>
      <w:b/>
      <w:color w:val="C0392B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 IX Book 01 — Federal Application-Aware Networking — Helpdesk &amp; ITSM Catalog</dc:title>
  <dc:creator>SSA Cloud Services Team</dc:creator>
  <cp:keywords/>
  <dcterms:created xsi:type="dcterms:W3CDTF">2026-07-12T23:34:40Z</dcterms:created>
  <dcterms:modified xsi:type="dcterms:W3CDTF">2026-07-12T23:34:40Z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2026-07-12 15:00 ET</vt:lpwstr>
  </property>
  <property fmtid="{D5CDD505-2E9C-101B-9397-08002B2CF9AE}" pid="3" name="execute">
    <vt:lpwstr/>
  </property>
  <property fmtid="{D5CDD505-2E9C-101B-9397-08002B2CF9AE}" pid="4" name="fig-align">
    <vt:lpwstr>center</vt:lpwstr>
  </property>
  <property fmtid="{D5CDD505-2E9C-101B-9397-08002B2CF9AE}" pid="5" name="format">
    <vt:lpwstr/>
  </property>
  <property fmtid="{D5CDD505-2E9C-101B-9397-08002B2CF9AE}" pid="6" name="out-width">
    <vt:lpwstr>100%</vt:lpwstr>
  </property>
  <property fmtid="{D5CDD505-2E9C-101B-9397-08002B2CF9AE}" pid="7" name="subtitle">
    <vt:lpwstr>The common Entra · M365 · Azure operator tasks as governed, control-mapped ServiceNow catalog items</vt:lpwstr>
  </property>
</Properties>
</file>