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Executive</w:t>
      </w:r>
      <w:r>
        <w:t xml:space="preserve"> </w:t>
      </w:r>
      <w:r>
        <w:t xml:space="preserve">Summary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31" w:name="uiao-executive-summary"/>
    <w:p>
      <w:pPr>
        <w:pStyle w:val="Heading1"/>
      </w:pPr>
      <w:r>
        <w:t xml:space="preserve">UIAO Executive Summary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2026-03-24 19:35:03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Executive Summary provides a leadership-ready overview of the Unified Identity and Addressing Overlay (UIAO) program, including mission alignment, target architecture, current status, key risks, and the immediate decisions required to sustain modernization momentum.</w:t>
      </w:r>
    </w:p>
    <w:p>
      <w:pPr>
        <w:pStyle w:val="BodyText"/>
      </w:pPr>
      <w:r>
        <w:t xml:space="preserve">This document is generated from the UIAO canon and data overlays to prevent version drift across downstream compliance artifacts.</w:t>
      </w:r>
    </w:p>
    <w:bookmarkEnd w:id="20"/>
    <w:bookmarkStart w:id="24" w:name="one-page-summary"/>
    <w:p>
      <w:pPr>
        <w:pStyle w:val="Heading2"/>
      </w:pPr>
      <w:r>
        <w:t xml:space="preserve">2. One-Page Summary</w:t>
      </w:r>
    </w:p>
    <w:bookmarkStart w:id="21" w:name="program-snapshot"/>
    <w:p>
      <w:pPr>
        <w:pStyle w:val="Heading3"/>
      </w:pPr>
      <w:r>
        <w:t xml:space="preserve">2.1 Program snapshot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Program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Mission / outcome: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Scope: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Target baseline: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Primary stakeholders:</w:t>
      </w:r>
    </w:p>
    <w:p>
      <w:pPr>
        <w:numPr>
          <w:ilvl w:val="1"/>
          <w:numId w:val="1002"/>
        </w:numPr>
        <w:pStyle w:val="Compact"/>
      </w:pPr>
      <w:r>
        <w:t xml:space="preserve">TBD</w:t>
      </w:r>
    </w:p>
    <w:bookmarkEnd w:id="21"/>
    <w:bookmarkStart w:id="22" w:name="key-decisions-next-30-days"/>
    <w:p>
      <w:pPr>
        <w:pStyle w:val="Heading3"/>
      </w:pPr>
      <w:r>
        <w:t xml:space="preserve">2.2 Key decisions (next 30 days)</w:t>
      </w:r>
    </w:p>
    <w:p>
      <w:pPr>
        <w:numPr>
          <w:ilvl w:val="0"/>
          <w:numId w:val="1003"/>
        </w:numPr>
        <w:pStyle w:val="Compact"/>
      </w:pPr>
      <w:r>
        <w:t xml:space="preserve">Confirm authority to operate (ATO) strategy for Phase 2 evidence-based continuous validation.</w:t>
      </w:r>
    </w:p>
    <w:p>
      <w:pPr>
        <w:numPr>
          <w:ilvl w:val="0"/>
          <w:numId w:val="1003"/>
        </w:numPr>
        <w:pStyle w:val="Compact"/>
      </w:pPr>
      <w:r>
        <w:t xml:space="preserve">Confirm budget and staffing for control implementation and continuous monitoring automation.</w:t>
      </w:r>
    </w:p>
    <w:p>
      <w:pPr>
        <w:numPr>
          <w:ilvl w:val="0"/>
          <w:numId w:val="1003"/>
        </w:numPr>
        <w:pStyle w:val="Compact"/>
      </w:pPr>
      <w:r>
        <w:t xml:space="preserve">Approve boundary definition for cloud + on-prem hybrid dependencies.</w:t>
      </w:r>
    </w:p>
    <w:bookmarkEnd w:id="22"/>
    <w:bookmarkStart w:id="23" w:name="current-status"/>
    <w:p>
      <w:pPr>
        <w:pStyle w:val="Heading3"/>
      </w:pPr>
      <w:r>
        <w:t xml:space="preserve">2.3 Current status</w:t>
      </w:r>
    </w:p>
    <w:p>
      <w:pPr>
        <w:pStyle w:val="FirstParagraph"/>
      </w:pPr>
      <w:r>
        <w:t xml:space="preserve">TBD.</w:t>
      </w:r>
    </w:p>
    <w:bookmarkEnd w:id="23"/>
    <w:bookmarkEnd w:id="24"/>
    <w:bookmarkStart w:id="25" w:name="architecture-overview-high-level"/>
    <w:p>
      <w:pPr>
        <w:pStyle w:val="Heading2"/>
      </w:pPr>
      <w:r>
        <w:t xml:space="preserve">3. Architecture overview (high-level)</w:t>
      </w:r>
    </w:p>
    <w:bookmarkEnd w:id="25"/>
    <w:bookmarkStart w:id="28" w:name="business-value-and-outcomes"/>
    <w:p>
      <w:pPr>
        <w:pStyle w:val="Heading2"/>
      </w:pPr>
      <w:r>
        <w:t xml:space="preserve">4. Business value and outcomes</w:t>
      </w:r>
    </w:p>
    <w:bookmarkStart w:id="26" w:name="outcomes"/>
    <w:p>
      <w:pPr>
        <w:pStyle w:val="Heading3"/>
      </w:pPr>
      <w:r>
        <w:t xml:space="preserve">4.1 Outcomes</w:t>
      </w:r>
    </w:p>
    <w:p>
      <w:pPr>
        <w:numPr>
          <w:ilvl w:val="0"/>
          <w:numId w:val="1004"/>
        </w:numPr>
        <w:pStyle w:val="Compact"/>
      </w:pPr>
      <w:r>
        <w:t xml:space="preserve">Reduce identity and network policy fragmentation through plane-based architecture.</w:t>
      </w:r>
    </w:p>
    <w:p>
      <w:pPr>
        <w:numPr>
          <w:ilvl w:val="0"/>
          <w:numId w:val="1004"/>
        </w:numPr>
        <w:pStyle w:val="Compact"/>
      </w:pPr>
      <w:r>
        <w:t xml:space="preserve">Improve auditability and evidence collection through canon-driven artifact generation.</w:t>
      </w:r>
    </w:p>
    <w:p>
      <w:pPr>
        <w:numPr>
          <w:ilvl w:val="0"/>
          <w:numId w:val="1004"/>
        </w:numPr>
        <w:pStyle w:val="Compact"/>
      </w:pPr>
      <w:r>
        <w:t xml:space="preserve">Shorten security authorization cycles via continuous monitoring and reusable components.</w:t>
      </w:r>
    </w:p>
    <w:bookmarkEnd w:id="26"/>
    <w:bookmarkStart w:id="27" w:name="metrics"/>
    <w:p>
      <w:pPr>
        <w:pStyle w:val="Heading3"/>
      </w:pPr>
      <w:r>
        <w:t xml:space="preserve">4.2 Metrics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Control coverage: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Evidence freshness (days):</w:t>
      </w:r>
      <w:r>
        <w:t xml:space="preserve"> </w:t>
      </w:r>
      <w:r>
        <w:t xml:space="preserve">TBD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Mean time to remediate (MTTR):</w:t>
      </w:r>
      <w:r>
        <w:t xml:space="preserve"> </w:t>
      </w:r>
      <w:r>
        <w:t xml:space="preserve">TBD</w:t>
      </w:r>
    </w:p>
    <w:bookmarkEnd w:id="27"/>
    <w:bookmarkEnd w:id="28"/>
    <w:bookmarkStart w:id="29" w:name="top-risks-and-mitigations"/>
    <w:p>
      <w:pPr>
        <w:pStyle w:val="Heading2"/>
      </w:pPr>
      <w:r>
        <w:t xml:space="preserve">5. Top risks and mitigations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Boundary ambiguity</w:t>
      </w:r>
      <w:r>
        <w:t xml:space="preserve"> </w:t>
      </w:r>
      <w:r>
        <w:t xml:space="preserve">— unclear shared responsibility across cloud and on-prem dependencies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finalize authorization boundary and component inventory; document inherited controls.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Evidence gaps</w:t>
      </w:r>
      <w:r>
        <w:t xml:space="preserve"> </w:t>
      </w:r>
      <w:r>
        <w:t xml:space="preserve">— missing automated evidence for selected KSIs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Mitigation:</w:t>
      </w:r>
      <w:r>
        <w:t xml:space="preserve"> </w:t>
      </w:r>
      <w:r>
        <w:t xml:space="preserve">prioritize telemetry and evidence pipelines for high-impact controls.</w:t>
      </w:r>
    </w:p>
    <w:bookmarkEnd w:id="29"/>
    <w:bookmarkStart w:id="30" w:name="near-term-roadmap"/>
    <w:p>
      <w:pPr>
        <w:pStyle w:val="Heading2"/>
      </w:pPr>
      <w:r>
        <w:t xml:space="preserve">6. Near-term roadmap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0–30 days:</w:t>
      </w:r>
      <w:r>
        <w:t xml:space="preserve"> </w:t>
      </w:r>
      <w:r>
        <w:t xml:space="preserve">confirm boundary, inventory, and SSP narrative ownership; automate core evidence collection.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30–90 days:</w:t>
      </w:r>
      <w:r>
        <w:t xml:space="preserve"> </w:t>
      </w:r>
      <w:r>
        <w:t xml:space="preserve">map KSIs to control implementations; close top POA&amp;M items; expand continuous monitoring.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90–180 days:</w:t>
      </w:r>
      <w:r>
        <w:t xml:space="preserve"> </w:t>
      </w:r>
      <w:r>
        <w:t xml:space="preserve">mature zero trust journey; integrate validation targets; prepare for audit-ready reporting.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 V1.0</dc:title>
  <dc:creator>UIAO Modernization Program</dc:creator>
  <cp:keywords/>
  <dcterms:created xsi:type="dcterms:W3CDTF">2026-04-05T21:39:21Z</dcterms:created>
  <dcterms:modified xsi:type="dcterms:W3CDTF">2026-04-05T21:39:21Z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