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bookmarkStart w:id="34"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Start w:id="20" w:name="modernization-drivers"/>
    <w:p>
      <w:pPr>
        <w:pStyle w:val="Heading2"/>
      </w:pPr>
      <w:r>
        <w:t xml:space="preserve">1. 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0"/>
    <w:bookmarkStart w:id="21" w:name="architectural-foundations"/>
    <w:p>
      <w:pPr>
        <w:pStyle w:val="Heading2"/>
      </w:pPr>
      <w:r>
        <w:t xml:space="preserve">2. 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pPr>
        <w:pStyle w:val="BodyText"/>
      </w:pPr>
      <w:r>
        <w:t xml:space="preserve">The following diagram illustrates the legacy-to-modernized state transformation that the UIAO program delivers across all four control planes.</w:t>
      </w:r>
    </w:p>
    <w:p>
      <w:pPr>
        <w:pStyle w:val="BodyText"/>
      </w:pPr>
    </w:p>
    <w:p>
      <w:r>
        <w:pict>
          <v:rect style="width:0;height:1.5pt" o:hralign="center" o:hrstd="t" o:hr="t"/>
        </w:pict>
      </w:r>
    </w:p>
    <w:bookmarkEnd w:id="21"/>
    <w:bookmarkStart w:id="27" w:name="control-plane-sequencing"/>
    <w:p>
      <w:pPr>
        <w:pStyle w:val="Heading2"/>
      </w:pPr>
      <w:r>
        <w:t xml:space="preserve">3. Control Plane Sequencing</w:t>
      </w:r>
    </w:p>
    <w:p>
      <w:pPr>
        <w:pStyle w:val="FirstParagraph"/>
      </w:pPr>
      <w:r>
        <w:t xml:space="preserve">The modernization program is sequenced across control planes, with each phase building on the foundations established in prior phases. The following sections detail each phase and its deliverables.</w:t>
      </w:r>
    </w:p>
    <w:bookmarkStart w:id="22"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28" w:name="implementation-roadmap"/>
    <w:p>
      <w:pPr>
        <w:pStyle w:val="Heading2"/>
      </w:pPr>
      <w:r>
        <w:t xml:space="preserve">4. Implementation Roadmap</w:t>
      </w:r>
    </w:p>
    <w:p>
      <w:pPr>
        <w:pStyle w:val="FirstParagraph"/>
      </w:pPr>
      <w:r>
        <w:t xml:space="preserve">The following diagram provides a phased view of the implementation roadmap, showing how foundations, plane integration, and overlay scaling progress across the program timeline.</w:t>
      </w:r>
    </w:p>
    <w:p>
      <w:pPr>
        <w:pStyle w:val="BodyText"/>
      </w:pPr>
    </w:p>
    <w:p>
      <w:r>
        <w:pict>
          <v:rect style="width:0;height:1.5pt" o:hralign="center" o:hrstd="t" o:hr="t"/>
        </w:pict>
      </w:r>
    </w:p>
    <w:bookmarkEnd w:id="28"/>
    <w:bookmarkStart w:id="29" w:name="timeline-summary-18-month-program"/>
    <w:p>
      <w:pPr>
        <w:pStyle w:val="Heading2"/>
      </w:pPr>
      <w:r>
        <w:t xml:space="preserve">5. Timeline Summary (18-Month Program)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Phase</w:t>
            </w:r>
          </w:p>
        </w:tc>
        <w:tc>
          <w:tcPr/>
          <w:p>
            <w:pPr>
              <w:pStyle w:val="Compact"/>
              <w:jc w:val="left"/>
            </w:pPr>
            <w:r>
              <w:t xml:space="preserve">Workstream</w:t>
            </w:r>
          </w:p>
        </w:tc>
        <w:tc>
          <w:tcPr/>
          <w:p>
            <w:pPr>
              <w:pStyle w:val="Compact"/>
              <w:jc w:val="left"/>
            </w:pPr>
            <w:r>
              <w:t xml:space="preserve">Milestone</w:t>
            </w:r>
          </w:p>
        </w:tc>
        <w:tc>
          <w:tcPr/>
          <w:p>
            <w:pPr>
              <w:pStyle w:val="Compact"/>
              <w:jc w:val="left"/>
            </w:pPr>
            <w:r>
              <w:t xml:space="preserve">Duration</w:t>
            </w:r>
          </w:p>
        </w:tc>
        <w:tc>
          <w:tcPr/>
          <w:p>
            <w:pPr>
              <w:pStyle w:val="Compact"/>
              <w:jc w:val="left"/>
            </w:pPr>
            <w:r>
              <w:t xml:space="preserve">Dependencies</w:t>
            </w:r>
          </w:p>
        </w:tc>
      </w:tr>
    </w:tbl>
    <w:p>
      <w:r>
        <w:pict>
          <v:rect style="width:0;height:1.5pt" o:hralign="center" o:hrstd="t" o:hr="t"/>
        </w:pict>
      </w:r>
    </w:p>
    <w:bookmarkEnd w:id="29"/>
    <w:bookmarkStart w:id="30" w:name="workstream-summary"/>
    <w:p>
      <w:pPr>
        <w:pStyle w:val="Heading2"/>
      </w:pPr>
      <w:r>
        <w:t xml:space="preserve">6. Workstream Summary</w:t>
      </w:r>
    </w:p>
    <w:p>
      <w:r>
        <w:pict>
          <v:rect style="width:0;height:1.5pt" o:hralign="center" o:hrstd="t" o:hr="t"/>
        </w:pict>
      </w:r>
    </w:p>
    <w:bookmarkEnd w:id="30"/>
    <w:bookmarkStart w:id="31" w:name="expected-outcomes"/>
    <w:p>
      <w:pPr>
        <w:pStyle w:val="Heading2"/>
      </w:pPr>
      <w:r>
        <w:t xml:space="preserve">7. Expected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End w:id="31"/>
    <w:bookmarkStart w:id="32" w:name="mission-to-technology-mapping"/>
    <w:p>
      <w:pPr>
        <w:pStyle w:val="Heading2"/>
      </w:pPr>
      <w:r>
        <w:t xml:space="preserve">8. Mission-to-Technology Mapping</w:t>
      </w:r>
    </w:p>
    <w:p>
      <w:pPr>
        <w:pStyle w:val="FirstParagraph"/>
      </w:pPr>
      <w:r>
        <w:t xml:space="preserve">The following diagram maps the technical control planes to the strategic outcomes they enable, demonstrating how each investment drives measurable mission value.</w:t>
      </w:r>
    </w:p>
    <w:p>
      <w:pPr>
        <w:pStyle w:val="BodyText"/>
      </w:pPr>
    </w:p>
    <w:p>
      <w:r>
        <w:pict>
          <v:rect style="width:0;height:1.5pt" o:hralign="center" o:hrstd="t" o:hr="t"/>
        </w:pict>
      </w:r>
    </w:p>
    <w:bookmarkEnd w:id="32"/>
    <w:bookmarkStart w:id="33" w:name="regional-scaling-model"/>
    <w:p>
      <w:pPr>
        <w:pStyle w:val="Heading2"/>
      </w:pPr>
      <w:r>
        <w:t xml:space="preserve">9. Regional Scaling Model</w:t>
      </w:r>
    </w:p>
    <w:p>
      <w:pPr>
        <w:pStyle w:val="FirstParagraph"/>
      </w:pPr>
      <w:r>
        <w:t xml:space="preserve">The UIAO architecture scales from small branch offices to large data centers using the same canonical patterns. The following diagram illustrates the scaling model.</w:t>
      </w:r>
    </w:p>
    <w:p>
      <w:pPr>
        <w:pStyle w:val="BodyText"/>
      </w:pPr>
    </w:p>
    <w:p>
      <w:r>
        <w:pict>
          <v:rect style="width:0;height:1.5pt" o:hralign="center" o:hrstd="t" o:hr="t"/>
        </w:pict>
      </w:r>
    </w:p>
    <w:p>
      <w:pPr>
        <w:pStyle w:val="FirstParagraph"/>
      </w:pPr>
      <w:r>
        <w:rPr>
          <w:iCs/>
          <w:i/>
        </w:rPr>
        <w:t xml:space="preserve">Generated from UIAO data layer — Modernization Timeline v1.0</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2026-04-05T21:39:22Z</dcterms:created>
  <dcterms:modified xsi:type="dcterms:W3CDTF">2026-04-05T21:39:22Z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