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constructive-critique-uiao-orgpath-aan"/>
    <w:p>
      <w:pPr>
        <w:pStyle w:val="Heading1"/>
      </w:pPr>
      <w:r>
        <w:t xml:space="preserve">Constructive Critique — UIAO, OrgPath &amp; AAN</w:t>
      </w:r>
    </w:p>
    <w:p>
      <w:pPr>
        <w:pStyle w:val="BlockText"/>
      </w:pPr>
      <w:r>
        <w:rPr>
          <w:b/>
          <w:bCs/>
        </w:rPr>
        <w:t xml:space="preserve">Peer review (inbox draft — not canon).</w:t>
      </w:r>
      <w:r>
        <w:t xml:space="preserve"> </w:t>
      </w:r>
      <w:r>
        <w:t xml:space="preserve">A hostile-but-fair critique of all</w:t>
      </w:r>
      <w:r>
        <w:t xml:space="preserve"> </w:t>
      </w:r>
      <w:r>
        <w:t xml:space="preserve">three, from three independent read-only investigations of the repo at HEAD</w:t>
      </w:r>
      <w:r>
        <w:t xml:space="preserve"> </w:t>
      </w:r>
      <w:r>
        <w:t xml:space="preserve">(2026-07-13). Every criticism is paired with a recommendation, and genuine</w:t>
      </w:r>
      <w:r>
        <w:t xml:space="preserve"> </w:t>
      </w:r>
      <w:r>
        <w:t xml:space="preserve">strengths are credited. File:line citations point to that state.</w:t>
      </w:r>
    </w:p>
    <w:bookmarkStart w:id="11" w:name="bottom-line-one-failure-mode-three-times"/>
    <w:p>
      <w:pPr>
        <w:pStyle w:val="Heading2"/>
      </w:pPr>
      <w:r>
        <w:t xml:space="preserve">Bottom line: one failure mode, three times</w:t>
      </w:r>
    </w:p>
    <w:p>
      <w:pPr>
        <w:pStyle w:val="FirstParagraph"/>
      </w:pPr>
      <w:r>
        <w:t xml:space="preserve">All three are</w:t>
      </w:r>
      <w:r>
        <w:t xml:space="preserve"> </w:t>
      </w:r>
      <w:r>
        <w:rPr>
          <w:b/>
          <w:bCs/>
        </w:rPr>
        <w:t xml:space="preserve">real and substantial</w:t>
      </w:r>
      <w:r>
        <w:t xml:space="preserve"> </w:t>
      </w:r>
      <w:r>
        <w:t xml:space="preserve">— not slideware. There is genuinely-backed</w:t>
      </w:r>
      <w:r>
        <w:t xml:space="preserve"> </w:t>
      </w:r>
      <w:r>
        <w:t xml:space="preserve">engineering in each: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UIAO</w:t>
      </w:r>
      <w:r>
        <w:t xml:space="preserve"> </w:t>
      </w:r>
      <w:r>
        <w:t xml:space="preserve">— 163 KSI rule files actually exist (</w:t>
      </w:r>
      <w:r>
        <w:rPr>
          <w:rStyle w:val="VerbatimChar"/>
        </w:rPr>
        <w:t xml:space="preserve">src/uiao/rules/ksi/</w:t>
      </w:r>
      <w:r>
        <w:t xml:space="preserve">), the</w:t>
      </w:r>
      <w:r>
        <w:t xml:space="preserve"> </w:t>
      </w:r>
      <w:r>
        <w:t xml:space="preserve">substrate walker is 783 lines of exercised code, ADR SSOT wrappers are clean,</w:t>
      </w:r>
      <w:r>
        <w:t xml:space="preserve"> </w:t>
      </w:r>
      <w:r>
        <w:t xml:space="preserve">266 test files, ~45 CI workflows.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OrgPath / LocPath</w:t>
      </w:r>
      <w:r>
        <w:t xml:space="preserve"> </w:t>
      </w:r>
      <w:r>
        <w:t xml:space="preserve">— ~7,000 LoC of real code (</w:t>
      </w:r>
      <w:r>
        <w:rPr>
          <w:rStyle w:val="VerbatimChar"/>
        </w:rPr>
        <w:t xml:space="preserve">orgtree/</w:t>
      </w:r>
      <w:r>
        <w:t xml:space="preserve">,</w:t>
      </w:r>
      <w:r>
        <w:t xml:space="preserve"> </w:t>
      </w:r>
      <w:r>
        <w:rPr>
          <w:rStyle w:val="VerbatimChar"/>
        </w:rPr>
        <w:t xml:space="preserve">locpath/</w:t>
      </w:r>
      <w:r>
        <w:t xml:space="preserve">, a</w:t>
      </w:r>
      <w:r>
        <w:t xml:space="preserve"> </w:t>
      </w:r>
      <w:r>
        <w:t xml:space="preserve">per-facet drift engine, a schema-validated codebook loader with a</w:t>
      </w:r>
      <w:r>
        <w:t xml:space="preserve"> </w:t>
      </w:r>
      <w:r>
        <w:t xml:space="preserve">cross-property slot-uniqueness invariant, nine binding-profile YAMLs, an NSX</w:t>
      </w:r>
      <w:r>
        <w:t xml:space="preserve"> </w:t>
      </w:r>
      <w:r>
        <w:t xml:space="preserve">enforcement projector).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AAN</w:t>
      </w:r>
      <w:r>
        <w:t xml:space="preserve"> </w:t>
      </w:r>
      <w:r>
        <w:t xml:space="preserve">— four working CI drift gates, a machine-checked compliance spine, a</w:t>
      </w:r>
      <w:r>
        <w:t xml:space="preserve"> </w:t>
      </w:r>
      <w:r>
        <w:t xml:space="preserve">generated CR26 reconciliation, deployable IaC/ServiceNow kits.</w:t>
      </w:r>
    </w:p>
    <w:p>
      <w:pPr>
        <w:pStyle w:val="FirstParagraph"/>
      </w:pPr>
      <w:r>
        <w:t xml:space="preserve">Credit that first. But each has the</w:t>
      </w:r>
      <w:r>
        <w:t xml:space="preserve"> </w:t>
      </w:r>
      <w:r>
        <w:rPr>
          <w:b/>
          <w:bCs/>
        </w:rPr>
        <w:t xml:space="preserve">same weakness: the narrative runs ahead of</w:t>
      </w:r>
      <w:r>
        <w:rPr>
          <w:b/>
          <w:bCs/>
        </w:rPr>
        <w:t xml:space="preserve"> </w:t>
      </w:r>
      <w:r>
        <w:rPr>
          <w:b/>
          <w:bCs/>
        </w:rPr>
        <w:t xml:space="preserve">the code, and the fast-moving decision layer outpaces the artifacts that should</w:t>
      </w:r>
      <w:r>
        <w:rPr>
          <w:b/>
          <w:bCs/>
        </w:rPr>
        <w:t xml:space="preserve"> </w:t>
      </w:r>
      <w:r>
        <w:rPr>
          <w:b/>
          <w:bCs/>
        </w:rPr>
        <w:t xml:space="preserve">reflect it.</w:t>
      </w:r>
      <w:r>
        <w:t xml:space="preserve"> </w:t>
      </w:r>
      <w:r>
        <w:t xml:space="preserve">A skeptical reviewer catches the identical gap in all three.</w:t>
      </w:r>
    </w:p>
    <w:bookmarkStart w:id="9" w:name="Xa62493e14252f6297ad9079c42b2cc5058af5e9"/>
    <w:p>
      <w:pPr>
        <w:pStyle w:val="Heading3"/>
      </w:pPr>
      <w:r>
        <w:t xml:space="preserve">The gap —</w:t>
      </w:r>
      <w:r>
        <w:t xml:space="preserve"> </w:t>
      </w:r>
      <w:r>
        <w:t xml:space="preserve">“documentation tense”</w:t>
      </w:r>
      <w:r>
        <w:t xml:space="preserve"> </w:t>
      </w:r>
      <w:r>
        <w:t xml:space="preserve">vs</w:t>
      </w:r>
      <w:r>
        <w:t xml:space="preserve"> </w:t>
      </w:r>
      <w:r>
        <w:t xml:space="preserve">“code tense”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The narrative says…</w:t>
            </w:r>
          </w:p>
        </w:tc>
        <w:tc>
          <w:tcPr/>
          <w:p>
            <w:pPr>
              <w:pStyle w:val="Compact"/>
            </w:pPr>
            <w:r>
              <w:t xml:space="preserve">…but the code / artifact says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UIAO</w:t>
            </w:r>
          </w:p>
        </w:tc>
        <w:tc>
          <w:tcPr/>
          <w:p>
            <w:pPr>
              <w:pStyle w:val="Compact"/>
            </w:pPr>
            <w:r>
              <w:t xml:space="preserve">“immutable, certificate-anchored provenance chains that cannot be backfilled”</w:t>
            </w:r>
          </w:p>
        </w:tc>
        <w:tc>
          <w:tcPr/>
          <w:p>
            <w:pPr>
              <w:pStyle w:val="Compact"/>
            </w:pPr>
            <w:r>
              <w:t xml:space="preserve">the walker only checks a</w:t>
            </w:r>
            <w:r>
              <w:t xml:space="preserve"> </w:t>
            </w:r>
            <w:r>
              <w:rPr>
                <w:rStyle w:val="VerbatimChar"/>
              </w:rPr>
              <w:t xml:space="preserve">trust-anchor:</w:t>
            </w:r>
            <w:r>
              <w:t xml:space="preserve"> </w:t>
            </w:r>
            <w:r>
              <w:rPr>
                <w:b/>
                <w:bCs/>
              </w:rPr>
              <w:t xml:space="preserve">key is present in YAML</w:t>
            </w:r>
            <w:r>
              <w:t xml:space="preserve"> </w:t>
            </w:r>
            <w:r>
              <w:t xml:space="preserve">— no signature or issuer-chain verification (</w:t>
            </w:r>
            <w:r>
              <w:rPr>
                <w:rStyle w:val="VerbatimChar"/>
              </w:rPr>
              <w:t xml:space="preserve">src/uiao/substrate/walker.py:513-528</w:t>
            </w:r>
            <w:r>
              <w:t xml:space="preserve">, whose own message admits</w:t>
            </w:r>
            <w:r>
              <w:t xml:space="preserve"> </w:t>
            </w:r>
            <w:r>
              <w:t xml:space="preserve">“issuer-chain validation cannot be enforced”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OrgPath</w:t>
            </w:r>
          </w:p>
        </w:tc>
        <w:tc>
          <w:tcPr/>
          <w:p>
            <w:pPr>
              <w:pStyle w:val="Compact"/>
            </w:pPr>
            <w:r>
              <w:t xml:space="preserve">“vendor-neutral binding across AWS/GCP/Okta/LDAP/VMware”</w:t>
            </w:r>
          </w:p>
        </w:tc>
        <w:tc>
          <w:tcPr/>
          <w:p>
            <w:pPr>
              <w:pStyle w:val="Compact"/>
            </w:pPr>
            <w:r>
              <w:t xml:space="preserve">transports exist only for</w:t>
            </w:r>
            <w:r>
              <w:t xml:space="preserve"> </w:t>
            </w:r>
            <w:r>
              <w:rPr>
                <w:b/>
                <w:bCs/>
              </w:rPr>
              <w:t xml:space="preserve">IdPs</w:t>
            </w:r>
            <w:r>
              <w:t xml:space="preserve"> </w:t>
            </w:r>
            <w:r>
              <w:t xml:space="preserve">(Okta/LDAP/Ping/Keycloak/Auth0);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aws_/gcp_/vmware_transport.py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— those planes are YAML-only, and ADR-098 is still</w:t>
            </w:r>
            <w:r>
              <w:t xml:space="preserve"> </w:t>
            </w:r>
            <w:r>
              <w:rPr>
                <w:rStyle w:val="VerbatimChar"/>
              </w:rPr>
              <w:t xml:space="preserve">PROPOSED</w:t>
            </w:r>
            <w:r>
              <w:t xml:space="preserve">, UIAO_193</w:t>
            </w:r>
            <w:r>
              <w:t xml:space="preserve"> </w:t>
            </w:r>
            <w:r>
              <w:rPr>
                <w:rStyle w:val="VerbatimChar"/>
              </w:rPr>
              <w:t xml:space="preserve">lifecycle: aspirational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AAN</w:t>
            </w:r>
          </w:p>
        </w:tc>
        <w:tc>
          <w:tcPr/>
          <w:p>
            <w:pPr>
              <w:pStyle w:val="Compact"/>
            </w:pPr>
            <w:r>
              <w:t xml:space="preserve">crosswalk</w:t>
            </w:r>
            <w:r>
              <w:t xml:space="preserve"> </w:t>
            </w:r>
            <w:r>
              <w:t xml:space="preserve">“generated from the spine”</w:t>
            </w:r>
            <w:r>
              <w:t xml:space="preserve">; the spine is</w:t>
            </w:r>
            <w:r>
              <w:t xml:space="preserve"> </w:t>
            </w:r>
            <w:r>
              <w:t xml:space="preserve">“the SSOT”</w:t>
            </w:r>
          </w:p>
        </w:tc>
        <w:tc>
          <w:tcPr/>
          <w:p>
            <w:pPr>
              <w:pStyle w:val="Compact"/>
            </w:pPr>
            <w:r>
              <w:t xml:space="preserve">the 146-control crosswalk is</w:t>
            </w:r>
            <w:r>
              <w:t xml:space="preserve"> </w:t>
            </w:r>
            <w:r>
              <w:rPr>
                <w:b/>
                <w:bCs/>
              </w:rPr>
              <w:t xml:space="preserve">hand-typed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Vol_0_Book_02…:63-68</w:t>
            </w:r>
            <w:r>
              <w:t xml:space="preserve">); the generator is vaporware; the spine covers</w:t>
            </w:r>
            <w:r>
              <w:t xml:space="preserve"> </w:t>
            </w:r>
            <w:r>
              <w:rPr>
                <w:b/>
                <w:bCs/>
              </w:rPr>
              <w:t xml:space="preserve">15 of 66 books</w:t>
            </w:r>
          </w:p>
        </w:tc>
      </w:tr>
    </w:tbl>
    <w:bookmarkEnd w:id="9"/>
    <w:bookmarkStart w:id="10" w:name="Xfbcdc4502fc9ae582ebafb5aa76956dfb8ea41e"/>
    <w:p>
      <w:pPr>
        <w:pStyle w:val="Heading3"/>
      </w:pPr>
      <w:r>
        <w:t xml:space="preserve">The other half — the decision layer outran its own downstream docs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UIAO</w:t>
      </w:r>
      <w:r>
        <w:t xml:space="preserve"> </w:t>
      </w:r>
      <w:r>
        <w:t xml:space="preserve">— ADR-085 (accepted 2026-05-25) declares</w:t>
      </w:r>
      <w:r>
        <w:t xml:space="preserve"> </w:t>
      </w:r>
      <w:r>
        <w:t xml:space="preserve">“any federal-scoped</w:t>
      </w:r>
      <w:r>
        <w:t xml:space="preserve"> </w:t>
      </w:r>
      <w:r>
        <w:t xml:space="preserve">description of the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is a positioning bug”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adr-085:53</w:t>
      </w:r>
      <w:r>
        <w:t xml:space="preserve">), yet the</w:t>
      </w:r>
      <w:r>
        <w:t xml:space="preserve"> </w:t>
      </w:r>
      <w:r>
        <w:t xml:space="preserve">self-described</w:t>
      </w:r>
      <w:r>
        <w:t xml:space="preserve"> </w:t>
      </w:r>
      <w:r>
        <w:rPr>
          <w:i/>
          <w:iCs/>
        </w:rPr>
        <w:t xml:space="preserve">authoritative</w:t>
      </w:r>
      <w:r>
        <w:t xml:space="preserve"> </w:t>
      </w:r>
      <w:r>
        <w:t xml:space="preserve">mission statement still opens</w:t>
      </w:r>
      <w:r>
        <w:t xml:space="preserve"> </w:t>
      </w:r>
      <w:r>
        <w:t xml:space="preserve">“UIAO … is a</w:t>
      </w:r>
      <w:r>
        <w:t xml:space="preserve"> </w:t>
      </w:r>
      <w:r>
        <w:t xml:space="preserve">federal network modernization platform”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docs/governance/VISION.qmd:14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OrgPath</w:t>
      </w:r>
      <w:r>
        <w:t xml:space="preserve"> </w:t>
      </w:r>
      <w:r>
        <w:t xml:space="preserve">— ADR-127 (accepted 2026-07-07)</w:t>
      </w:r>
      <w:r>
        <w:t xml:space="preserve"> </w:t>
      </w:r>
      <w:r>
        <w:rPr>
          <w:b/>
          <w:bCs/>
        </w:rPr>
        <w:t xml:space="preserve">re-introduced</w:t>
      </w:r>
      <w:r>
        <w:t xml:space="preserve"> </w:t>
      </w:r>
      <w:r>
        <w:t xml:space="preserve">the composite</w:t>
      </w:r>
      <w:r>
        <w:t xml:space="preserve"> </w:t>
      </w:r>
      <w:r>
        <w:t xml:space="preserve">path Model C had removed, but</w:t>
      </w:r>
      <w:r>
        <w:t xml:space="preserve"> </w:t>
      </w:r>
      <w:r>
        <w:rPr>
          <w:rStyle w:val="VerbatimChar"/>
        </w:rPr>
        <w:t xml:space="preserve">UIAO_152…:98</w:t>
      </w:r>
      <w:r>
        <w:t xml:space="preserve"> </w:t>
      </w:r>
      <w:r>
        <w:t xml:space="preserve">still insists the composite is</w:t>
      </w:r>
      <w:r>
        <w:t xml:space="preserve"> </w:t>
      </w:r>
      <w:r>
        <w:t xml:space="preserve">“not needed,”</w:t>
      </w:r>
      <w:r>
        <w:t xml:space="preserve"> </w:t>
      </w:r>
      <w:r>
        <w:t xml:space="preserve">and version/slot counts are stale across UIAO_151/152/154</w:t>
      </w:r>
      <w:r>
        <w:t xml:space="preserve"> </w:t>
      </w:r>
      <w:r>
        <w:t xml:space="preserve">(</w:t>
      </w:r>
      <w:r>
        <w:rPr>
          <w:rStyle w:val="VerbatimChar"/>
        </w:rPr>
        <w:t xml:space="preserve">v4.0</w:t>
      </w:r>
      <w:r>
        <w:t xml:space="preserve">/</w:t>
      </w:r>
      <w:r>
        <w:rPr>
          <w:rStyle w:val="VerbatimChar"/>
        </w:rPr>
        <w:t xml:space="preserve">2.0.0</w:t>
      </w:r>
      <w:r>
        <w:t xml:space="preserve"> </w:t>
      </w:r>
      <w:r>
        <w:t xml:space="preserve">cited where reality is</w:t>
      </w:r>
      <w:r>
        <w:t xml:space="preserve"> </w:t>
      </w:r>
      <w:r>
        <w:rPr>
          <w:rStyle w:val="VerbatimChar"/>
        </w:rPr>
        <w:t xml:space="preserve">v4.1</w:t>
      </w:r>
      <w:r>
        <w:t xml:space="preserve">/</w:t>
      </w:r>
      <w:r>
        <w:rPr>
          <w:rStyle w:val="VerbatimChar"/>
        </w:rPr>
        <w:t xml:space="preserve">2.1.0</w:t>
      </w:r>
      <w:r>
        <w:t xml:space="preserve">;</w:t>
      </w:r>
      <w:r>
        <w:t xml:space="preserve"> </w:t>
      </w:r>
      <w:r>
        <w:t xml:space="preserve">“reserved 11–15”</w:t>
      </w:r>
      <w:r>
        <w:t xml:space="preserve"> </w:t>
      </w:r>
      <w:r>
        <w:t xml:space="preserve">where</w:t>
      </w:r>
      <w:r>
        <w:t xml:space="preserve"> </w:t>
      </w:r>
      <w:r>
        <w:t xml:space="preserve">ADR-127 made it 11–14 + slot-15-derived).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AAN</w:t>
      </w:r>
      <w:r>
        <w:t xml:space="preserve"> </w:t>
      </w:r>
      <w:r>
        <w:t xml:space="preserve">— the number corrections (19/46, 15/66) landed 07-12/13, but the</w:t>
      </w:r>
      <w:r>
        <w:t xml:space="preserve"> </w:t>
      </w:r>
      <w:r>
        <w:t xml:space="preserve">coverage/closure</w:t>
      </w:r>
      <w:r>
        <w:t xml:space="preserve"> </w:t>
      </w:r>
      <w:r>
        <w:rPr>
          <w:b/>
          <w:bCs/>
        </w:rPr>
        <w:t xml:space="preserve">figures still date to 07-09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es-fig-02</w:t>
      </w:r>
      <w:r>
        <w:t xml:space="preserve">,</w:t>
      </w:r>
      <w:r>
        <w:t xml:space="preserve"> </w:t>
      </w:r>
      <w:r>
        <w:rPr>
          <w:rStyle w:val="VerbatimChar"/>
        </w:rPr>
        <w:t xml:space="preserve">es-fig-08</w:t>
      </w:r>
      <w:r>
        <w:t xml:space="preserve"> </w:t>
      </w:r>
      <w:r>
        <w:t xml:space="preserve">predate the very corrections they illustrate; and the one canon adapter still</w:t>
      </w:r>
      <w:r>
        <w:t xml:space="preserve"> </w:t>
      </w:r>
      <w:r>
        <w:t xml:space="preserve">says</w:t>
      </w:r>
      <w:r>
        <w:t xml:space="preserve"> </w:t>
      </w:r>
      <w:r>
        <w:t xml:space="preserve">“AAN</w:t>
      </w:r>
      <w:r>
        <w:t xml:space="preserve"> </w:t>
      </w:r>
      <w:r>
        <w:rPr>
          <w:b/>
          <w:bCs/>
        </w:rPr>
        <w:t xml:space="preserve">Parts 1–11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adapter-registry.yaml:705</w:t>
      </w:r>
      <w:r>
        <w:t xml:space="preserve">) for what is now a</w:t>
      </w:r>
      <w:r>
        <w:t xml:space="preserve"> </w:t>
      </w:r>
      <w:r>
        <w:t xml:space="preserve">66-book series.</w:t>
      </w:r>
    </w:p>
    <w:bookmarkEnd w:id="10"/>
    <w:bookmarkEnd w:id="11"/>
    <w:bookmarkStart w:id="12" w:name="sharpest-finding-per-layer"/>
    <w:p>
      <w:pPr>
        <w:pStyle w:val="Heading2"/>
      </w:pPr>
      <w:r>
        <w:t xml:space="preserve">Sharpest finding per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UIAO — the provenance claim is the auditor kill.</w:t>
      </w:r>
      <w:r>
        <w:t xml:space="preserve"> </w:t>
      </w:r>
      <w:r>
        <w:t xml:space="preserve">“Immutable evidence</w:t>
      </w:r>
      <w:r>
        <w:t xml:space="preserve"> </w:t>
      </w:r>
      <w:r>
        <w:t xml:space="preserve">fabric”</w:t>
      </w:r>
      <w:r>
        <w:t xml:space="preserve"> </w:t>
      </w:r>
      <w:r>
        <w:t xml:space="preserve">resting on a key-presence lint is the single claim most likely to fail</w:t>
      </w:r>
      <w:r>
        <w:t xml:space="preserve"> </w:t>
      </w:r>
      <w:r>
        <w:t xml:space="preserve">a probe.</w:t>
      </w:r>
      <w:r>
        <w:t xml:space="preserve"> </w:t>
      </w:r>
      <w:r>
        <w:rPr>
          <w:i/>
          <w:iCs/>
        </w:rPr>
        <w:t xml:space="preserve">Fix: soften to</w:t>
      </w:r>
      <w:r>
        <w:rPr>
          <w:i/>
          <w:iCs/>
        </w:rPr>
        <w:t xml:space="preserve"> </w:t>
      </w:r>
      <w:r>
        <w:rPr>
          <w:i/>
          <w:iCs/>
        </w:rPr>
        <w:t xml:space="preserve">“declares a trust anchor”</w:t>
      </w:r>
      <w:r>
        <w:rPr>
          <w:i/>
          <w:iCs/>
        </w:rPr>
        <w:t xml:space="preserve"> </w:t>
      </w:r>
      <w:r>
        <w:rPr>
          <w:i/>
          <w:iCs/>
        </w:rPr>
        <w:t xml:space="preserve">until real</w:t>
      </w:r>
      <w:r>
        <w:rPr>
          <w:i/>
          <w:iCs/>
        </w:rPr>
        <w:t xml:space="preserve"> </w:t>
      </w:r>
      <w:r>
        <w:rPr>
          <w:i/>
          <w:iCs/>
        </w:rPr>
        <w:t xml:space="preserve">signature/chain verification lands, or wire it into the walker.</w:t>
      </w:r>
      <w:r>
        <w:t xml:space="preserve"> </w:t>
      </w:r>
      <w:r>
        <w:t xml:space="preserve">Runner-up: the</w:t>
      </w:r>
      <w:r>
        <w:t xml:space="preserve"> </w:t>
      </w:r>
      <w:r>
        <w:t xml:space="preserve">“vertical-agnostic core, many packs”</w:t>
      </w:r>
      <w:r>
        <w:t xml:space="preserve"> </w:t>
      </w:r>
      <w:r>
        <w:t xml:space="preserve">thesis is currently</w:t>
      </w:r>
      <w:r>
        <w:t xml:space="preserve"> </w:t>
      </w:r>
      <w:r>
        <w:rPr>
          <w:b/>
          <w:bCs/>
        </w:rPr>
        <w:t xml:space="preserve">one pack</w:t>
      </w:r>
      <w:r>
        <w:t xml:space="preserve"> </w:t>
      </w:r>
      <w:r>
        <w:t xml:space="preserve">—</w:t>
      </w:r>
      <w:r>
        <w:t xml:space="preserve"> </w:t>
      </w:r>
      <w:r>
        <w:t xml:space="preserve">StateRAMP / ISO 27001 / PCI-DSS appear in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code or canon, only prose.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OrgPath — HR is a silent single point of failure.</w:t>
      </w:r>
      <w:r>
        <w:t xml:space="preserve"> </w:t>
      </w:r>
      <w:r>
        <w:t xml:space="preserve">Policy targeting, AU</w:t>
      </w:r>
      <w:r>
        <w:t xml:space="preserve"> </w:t>
      </w:r>
      <w:r>
        <w:t xml:space="preserve">scoping, and Conditional Access all read OrgPath, so a</w:t>
      </w:r>
      <w:r>
        <w:t xml:space="preserve"> </w:t>
      </w:r>
      <w:r>
        <w:rPr>
          <w:i/>
          <w:iCs/>
        </w:rPr>
        <w:t xml:space="preserve">wrong-but-well-formed</w:t>
      </w:r>
      <w:r>
        <w:t xml:space="preserve"> </w:t>
      </w:r>
      <w:r>
        <w:t xml:space="preserve">HR value (mistyped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 missing</w:t>
      </w:r>
      <w:r>
        <w:t xml:space="preserve"> </w:t>
      </w:r>
      <w:r>
        <w:rPr>
          <w:rStyle w:val="VerbatimChar"/>
        </w:rPr>
        <w:t xml:space="preserve">TermDate</w:t>
      </w:r>
      <w:r>
        <w:t xml:space="preserve">) doesn’t error — it silently</w:t>
      </w:r>
      <w:r>
        <w:t xml:space="preserve"> </w:t>
      </w:r>
      <w:r>
        <w:t xml:space="preserve">re-scopes access, and the drift engine only catches codebook-</w:t>
      </w:r>
      <w:r>
        <w:rPr>
          <w:i/>
          <w:iCs/>
        </w:rPr>
        <w:t xml:space="preserve">invalid</w:t>
      </w:r>
      <w:r>
        <w:t xml:space="preserve"> </w:t>
      </w:r>
      <w:r>
        <w:t xml:space="preserve">values.</w:t>
      </w:r>
      <w:r>
        <w:t xml:space="preserve"> </w:t>
      </w:r>
      <w:r>
        <w:t xml:space="preserve">ADR-088 names the risk in prose (</w:t>
      </w:r>
      <w:r>
        <w:rPr>
          <w:rStyle w:val="VerbatimChar"/>
        </w:rPr>
        <w:t xml:space="preserve">:89-90</w:t>
      </w:r>
      <w:r>
        <w:t xml:space="preserve">) but there is no HR-ingest quarantine</w:t>
      </w:r>
      <w:r>
        <w:t xml:space="preserve"> </w:t>
      </w:r>
      <w:r>
        <w:t xml:space="preserve">in code.</w:t>
      </w:r>
      <w:r>
        <w:t xml:space="preserve"> </w:t>
      </w:r>
      <w:r>
        <w:rPr>
          <w:i/>
          <w:iCs/>
        </w:rPr>
        <w:t xml:space="preserve">Fix: a quarantine gate (staleness SLA, null-placement,</w:t>
      </w:r>
      <w:r>
        <w:rPr>
          <w:i/>
          <w:iCs/>
        </w:rPr>
        <w:t xml:space="preserve"> </w:t>
      </w:r>
      <w:r>
        <w:rPr>
          <w:i/>
          <w:iCs/>
        </w:rPr>
        <w:t xml:space="preserve">improbable-delta) that holds a delta out of the stamp pipeline.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AAN — the corpus has no path into canon, and canon already cheats to reach</w:t>
      </w:r>
      <w:r>
        <w:rPr>
          <w:b/>
          <w:bCs/>
        </w:rPr>
        <w:t xml:space="preserve"> </w:t>
      </w:r>
      <w:r>
        <w:rPr>
          <w:b/>
          <w:bCs/>
        </w:rPr>
        <w:t xml:space="preserve">it.</w:t>
      </w:r>
      <w:r>
        <w:t xml:space="preserve"> </w:t>
      </w:r>
      <w:r>
        <w:t xml:space="preserve">All 66 books live in</w:t>
      </w:r>
      <w:r>
        <w:t xml:space="preserve"> </w:t>
      </w:r>
      <w:r>
        <w:rPr>
          <w:rStyle w:val="VerbatimChar"/>
        </w:rPr>
        <w:t xml:space="preserve">inbox/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inbox/README.md:22-25</w:t>
      </w:r>
      <w:r>
        <w:t xml:space="preserve"> </w:t>
      </w:r>
      <w:r>
        <w:t xml:space="preserve">says canon</w:t>
      </w:r>
      <w:r>
        <w:t xml:space="preserve"> </w:t>
      </w:r>
      <w:r>
        <w:t xml:space="preserve">must never cite — yet the</w:t>
      </w:r>
      <w:r>
        <w:t xml:space="preserve"> </w:t>
      </w:r>
      <w:r>
        <w:t xml:space="preserve">“FedRAMP AAN Evidence Catalog”</w:t>
      </w:r>
      <w:r>
        <w:t xml:space="preserve"> </w:t>
      </w:r>
      <w:r>
        <w:t xml:space="preserve">adapter hard-codes</w:t>
      </w:r>
      <w:r>
        <w:t xml:space="preserve"> </w:t>
      </w:r>
      <w:r>
        <w:rPr>
          <w:rStyle w:val="VerbatimChar"/>
        </w:rPr>
        <w:t xml:space="preserve">Roadmap: inbox/…</w:t>
      </w:r>
      <w:r>
        <w:t xml:space="preserve"> </w:t>
      </w:r>
      <w:r>
        <w:t xml:space="preserve">(</w:t>
      </w:r>
      <w:r>
        <w:rPr>
          <w:rStyle w:val="VerbatimChar"/>
        </w:rPr>
        <w:t xml:space="preserve">adapter-registry.yaml:707</w:t>
      </w:r>
      <w:r>
        <w:t xml:space="preserve">), is</w:t>
      </w:r>
      <w:r>
        <w:t xml:space="preserve"> </w:t>
      </w:r>
      <w:r>
        <w:rPr>
          <w:rStyle w:val="VerbatimChar"/>
        </w:rPr>
        <w:t xml:space="preserve">status: active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phase: planning</w:t>
      </w:r>
      <w:r>
        <w:t xml:space="preserve">, and its declared output file doesn’t exist.</w:t>
      </w:r>
      <w:r>
        <w:t xml:space="preserve"> </w:t>
      </w:r>
      <w:r>
        <w:rPr>
          <w:i/>
          <w:iCs/>
        </w:rPr>
        <w:t xml:space="preserve">Fix: decide</w:t>
      </w:r>
      <w:r>
        <w:rPr>
          <w:i/>
          <w:iCs/>
        </w:rPr>
        <w:t xml:space="preserve"> </w:t>
      </w:r>
      <w:r>
        <w:rPr>
          <w:i/>
          <w:iCs/>
        </w:rPr>
        <w:t xml:space="preserve">AAN’s destiny — a promotion pipeline into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src/uiao/canon/</w:t>
      </w:r>
      <w:r>
        <w:rPr>
          <w:i/>
          <w:iCs/>
        </w:rPr>
        <w:t xml:space="preserve">, or formally accept</w:t>
      </w:r>
      <w:r>
        <w:rPr>
          <w:i/>
          <w:iCs/>
        </w:rPr>
        <w:t xml:space="preserve"> </w:t>
      </w:r>
      <w:r>
        <w:rPr>
          <w:i/>
          <w:iCs/>
        </w:rPr>
        <w:t xml:space="preserve">it as permanent external companion and remove the rule-violating reference.</w:t>
      </w:r>
    </w:p>
    <w:bookmarkEnd w:id="12"/>
    <w:bookmarkStart w:id="13" w:name="X6a2487df02bd43fbd9660edf5815417be703f34"/>
    <w:p>
      <w:pPr>
        <w:pStyle w:val="Heading2"/>
      </w:pPr>
      <w:r>
        <w:t xml:space="preserve">Two cross-cutting risks that hit all three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Positioning tension — the doctrine says</w:t>
      </w:r>
      <w:r>
        <w:rPr>
          <w:b/>
          <w:bCs/>
        </w:rPr>
        <w:t xml:space="preserve"> </w:t>
      </w:r>
      <w:r>
        <w:rPr>
          <w:b/>
          <w:bCs/>
        </w:rPr>
        <w:t xml:space="preserve">“universal,”</w:t>
      </w:r>
      <w:r>
        <w:rPr>
          <w:b/>
          <w:bCs/>
        </w:rPr>
        <w:t xml:space="preserve"> </w:t>
      </w:r>
      <w:r>
        <w:rPr>
          <w:b/>
          <w:bCs/>
        </w:rPr>
        <w:t xml:space="preserve">the reality is</w:t>
      </w:r>
      <w:r>
        <w:rPr>
          <w:b/>
          <w:bCs/>
        </w:rPr>
        <w:t xml:space="preserve"> </w:t>
      </w:r>
      <w:r>
        <w:rPr>
          <w:b/>
          <w:bCs/>
        </w:rPr>
        <w:t xml:space="preserve">“federal.”</w:t>
      </w:r>
      <w:r>
        <w:t xml:space="preserve"> </w:t>
      </w:r>
      <w:r>
        <w:t xml:space="preserve">ADR-085 wants a vertical-agnostic core, but the orchestrator</w:t>
      </w:r>
      <w:r>
        <w:t xml:space="preserve"> </w:t>
      </w:r>
      <w:r>
        <w:t xml:space="preserve">carries 86 federal references, every active adapter is</w:t>
      </w:r>
      <w:r>
        <w:t xml:space="preserve"> </w:t>
      </w:r>
      <w:r>
        <w:rPr>
          <w:rStyle w:val="VerbatimChar"/>
        </w:rPr>
        <w:t xml:space="preserve">gcc-moderate</w:t>
      </w:r>
      <w:r>
        <w:t xml:space="preserve">,</w:t>
      </w:r>
      <w:r>
        <w:t xml:space="preserve"> </w:t>
      </w:r>
      <w:r>
        <w:t xml:space="preserve">OrgPath’s marquee instantiation is OPM HRIT, and AAN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federal</w:t>
      </w:r>
      <w:r>
        <w:t xml:space="preserve"> </w:t>
      </w:r>
      <w:r>
        <w:t xml:space="preserve">networking program. The universal story is asserted in prose and not yet</w:t>
      </w:r>
      <w:r>
        <w:t xml:space="preserve"> </w:t>
      </w:r>
      <w:r>
        <w:t xml:space="preserve">reflected in module layout, a second vertical, or the canonical 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Bus-factor.</w:t>
      </w:r>
      <w:r>
        <w:t xml:space="preserve"> </w:t>
      </w:r>
      <w:r>
        <w:t xml:space="preserve">139 ADRs + ~70</w:t>
      </w:r>
      <w:r>
        <w:t xml:space="preserve"> </w:t>
      </w:r>
      <w:r>
        <w:rPr>
          <w:rStyle w:val="VerbatimChar"/>
        </w:rPr>
        <w:t xml:space="preserve">UIAO_NNN</w:t>
      </w:r>
      <w:r>
        <w:t xml:space="preserve"> </w:t>
      </w:r>
      <w:r>
        <w:t xml:space="preserve">docs + the OrgPath codebook chain +</w:t>
      </w:r>
      <w:r>
        <w:t xml:space="preserve"> </w:t>
      </w:r>
      <w:r>
        <w:t xml:space="preserve">a 66-book AAN corpus, and</w:t>
      </w:r>
      <w:r>
        <w:t xml:space="preserve"> </w:t>
      </w:r>
      <w:r>
        <w:rPr>
          <w:b/>
          <w:bCs/>
        </w:rPr>
        <w:t xml:space="preserve">63 of 64 commits are one author</w:t>
      </w:r>
      <w:r>
        <w:t xml:space="preserve">. The conceptual</w:t>
      </w:r>
      <w:r>
        <w:t xml:space="preserve"> </w:t>
      </w:r>
      <w:r>
        <w:t xml:space="preserve">surface is very likely navigable only by its author — a direct</w:t>
      </w:r>
      <w:r>
        <w:t xml:space="preserve"> </w:t>
      </w:r>
      <w:r>
        <w:t xml:space="preserve">continuity/adoption risk pre-1.0.</w:t>
      </w:r>
    </w:p>
    <w:bookmarkEnd w:id="13"/>
    <w:bookmarkStart w:id="14" w:name="Xc31136eceda059495cdfffdf89e46d18fffcd22"/>
    <w:p>
      <w:pPr>
        <w:pStyle w:val="Heading2"/>
      </w:pPr>
      <w:r>
        <w:t xml:space="preserve">What to fix first (cheapest, highest-credibility)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Language-tighten the three over-claims</w:t>
      </w:r>
      <w:r>
        <w:t xml:space="preserve"> </w:t>
      </w:r>
      <w:r>
        <w:t xml:space="preserve">— UIAO provenance, OrgPath</w:t>
      </w:r>
      <w:r>
        <w:t xml:space="preserve"> </w:t>
      </w:r>
      <w:r>
        <w:t xml:space="preserve">AWS/GCP/VMware</w:t>
      </w:r>
      <w:r>
        <w:t xml:space="preserve"> </w:t>
      </w:r>
      <w:r>
        <w:t xml:space="preserve">“first-class,”</w:t>
      </w:r>
      <w:r>
        <w:t xml:space="preserve"> </w:t>
      </w:r>
      <w:r>
        <w:t xml:space="preserve">AAN</w:t>
      </w:r>
      <w:r>
        <w:t xml:space="preserve"> </w:t>
      </w:r>
      <w:r>
        <w:t xml:space="preserve">“generated”</w:t>
      </w:r>
      <w:r>
        <w:t xml:space="preserve"> </w:t>
      </w:r>
      <w:r>
        <w:t xml:space="preserve">crosswalk — to match what’s</w:t>
      </w:r>
      <w:r>
        <w:t xml:space="preserve"> </w:t>
      </w:r>
      <w:r>
        <w:t xml:space="preserve">built. Mostly one-file edits that remove exactly what a hostile reviewer</w:t>
      </w:r>
      <w:r>
        <w:t xml:space="preserve"> </w:t>
      </w:r>
      <w:r>
        <w:t xml:space="preserve">catches.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Reconcile the three decision-vs-doc lags</w:t>
      </w:r>
      <w:r>
        <w:t xml:space="preserve"> </w:t>
      </w:r>
      <w:r>
        <w:t xml:space="preserve">— rewrite VISION.qmd to ADR-085;</w:t>
      </w:r>
      <w:r>
        <w:t xml:space="preserve"> </w:t>
      </w:r>
      <w:r>
        <w:t xml:space="preserve">land the ADR-127 doc-fix sweep; regenerate the AAN coverage figures. Add a CI</w:t>
      </w:r>
      <w:r>
        <w:t xml:space="preserve"> </w:t>
      </w:r>
      <w:r>
        <w:t xml:space="preserve">lint in each case so they can’t drift again.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Ship one proof-of-life each</w:t>
      </w:r>
      <w:r>
        <w:t xml:space="preserve"> </w:t>
      </w:r>
      <w:r>
        <w:t xml:space="preserve">— one non-federal vertical skeleton (UIAO),</w:t>
      </w:r>
      <w:r>
        <w:t xml:space="preserve"> </w:t>
      </w:r>
      <w:r>
        <w:t xml:space="preserve">one cloud transport, e.g. AWS Identity Center (OrgPath), and the crosswalk</w:t>
      </w:r>
      <w:r>
        <w:t xml:space="preserve"> </w:t>
      </w:r>
      <w:r>
        <w:t xml:space="preserve">generator (AAN).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Address the two structural risks deliberately</w:t>
      </w:r>
      <w:r>
        <w:t xml:space="preserve"> </w:t>
      </w:r>
      <w:r>
        <w:t xml:space="preserve">— the HR-ingest quarantine</w:t>
      </w:r>
      <w:r>
        <w:t xml:space="preserve"> </w:t>
      </w:r>
      <w:r>
        <w:t xml:space="preserve">gate (OrgPath), and a documented AAN → canon promotion decision.</w:t>
      </w:r>
    </w:p>
    <w:bookmarkEnd w:id="14"/>
    <w:bookmarkStart w:id="15" w:name="the-encouraging-read"/>
    <w:p>
      <w:pPr>
        <w:pStyle w:val="Heading2"/>
      </w:pPr>
      <w:r>
        <w:t xml:space="preserve">The encouraging read</w:t>
      </w:r>
    </w:p>
    <w:p>
      <w:pPr>
        <w:pStyle w:val="FirstParagraph"/>
      </w:pPr>
      <w:r>
        <w:t xml:space="preserve">None of this is a rearchitecture. All three are strong enough underneath that</w:t>
      </w:r>
      <w:r>
        <w:t xml:space="preserve"> </w:t>
      </w:r>
      <w:r>
        <w:t xml:space="preserve">their main enemy is their own presentation getting ahead of their code — the same</w:t>
      </w:r>
      <w:r>
        <w:t xml:space="preserve"> </w:t>
      </w:r>
      <w:r>
        <w:t xml:space="preserve">lesson the two AAN critiques already landed, now visible one level up across the</w:t>
      </w:r>
      <w:r>
        <w:t xml:space="preserve"> </w:t>
      </w:r>
      <w:r>
        <w:t xml:space="preserve">whole stack. Tighten the claims to the evidence that exists today, reconcile the</w:t>
      </w:r>
      <w:r>
        <w:t xml:space="preserve"> </w:t>
      </w:r>
      <w:r>
        <w:t xml:space="preserve">docs to the latest decisions, and ship one proof-of-life per axis, and the gap a</w:t>
      </w:r>
      <w:r>
        <w:t xml:space="preserve"> </w:t>
      </w:r>
      <w:r>
        <w:t xml:space="preserve">skeptic exploits closes.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Method: three independent read-only investigations (UIAO core; OrgPath/LocPath;</w:t>
      </w:r>
      <w:r>
        <w:rPr>
          <w:i/>
          <w:iCs/>
        </w:rPr>
        <w:t xml:space="preserve"> </w:t>
      </w:r>
      <w:r>
        <w:rPr>
          <w:i/>
          <w:iCs/>
        </w:rPr>
        <w:t xml:space="preserve">AAN residuals post-remediation), each returning file:line evidence, synthesized</w:t>
      </w:r>
      <w:r>
        <w:rPr>
          <w:i/>
          <w:iCs/>
        </w:rPr>
        <w:t xml:space="preserve"> </w:t>
      </w:r>
      <w:r>
        <w:rPr>
          <w:i/>
          <w:iCs/>
        </w:rPr>
        <w:t xml:space="preserve">here. This is a peer review, not an assessment result.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2026-07-13T04:28:20Z</dcterms:created>
  <dcterms:modified xsi:type="dcterms:W3CDTF">2026-07-13T04:28:20Z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