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00 Core Principles</w:t>
      </w:r>
    </w:p>
    <w:p>
      <w:pPr>
        <w:pStyle w:val="Author"/>
      </w:pPr>
      <w:r>
        <w:t xml:space="preserve">UIAO Canon Steward</w:t>
      </w:r>
    </w:p>
    <w:p>
      <w:pPr>
        <w:pStyle w:val="Date"/>
      </w:pPr>
      <w:r>
        <w:t xml:space="preserve">April 2,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uiao-core-principles"/>
    <w:p>
      <w:pPr>
        <w:pStyle w:val="Heading1"/>
      </w:pPr>
      <w:r>
        <w:t xml:space="preserve">1. UIAO Core Principles</w:t>
      </w:r>
    </w:p>
    <w:p>
      <w:pPr>
        <w:pStyle w:val="FirstParagraph"/>
      </w:pPr>
      <w:r>
        <w:rPr>
          <w:b/>
          <w:bCs/>
        </w:rPr>
        <w:t xml:space="preserve">This document is the Single Source of Truth (Principle 1)</w:t>
      </w:r>
      <w:r>
        <w:t xml:space="preserve"> </w:t>
      </w:r>
      <w:r>
        <w:t xml:space="preserve">for all UIAO Core Principles.</w:t>
      </w:r>
    </w:p>
    <w:p>
      <w:pPr>
        <w:pStyle w:val="BodyText"/>
      </w:pPr>
      <w:r>
        <w:t xml:space="preserve">All other UIAO documents must reference this file and</w:t>
      </w:r>
      <w:r>
        <w:t xml:space="preserve"> </w:t>
      </w:r>
      <w:r>
        <w:rPr>
          <w:b/>
          <w:bCs/>
        </w:rPr>
        <w:t xml:space="preserve">shall not</w:t>
      </w:r>
      <w:r>
        <w:t xml:space="preserve"> </w:t>
      </w:r>
      <w:r>
        <w:t xml:space="preserve">duplicate the full list of principles without explicit Canon Steward approval and drift validation.</w:t>
      </w:r>
    </w:p>
    <w:bookmarkStart w:id="20" w:name="the-eight-core-principles"/>
    <w:p>
      <w:pPr>
        <w:pStyle w:val="Heading2"/>
      </w:pPr>
      <w:r>
        <w:t xml:space="preserve">1.1 The Eight Core Principles</w:t>
      </w:r>
    </w:p>
    <w:p>
      <w:pPr>
        <w:numPr>
          <w:ilvl w:val="0"/>
          <w:numId w:val="1001"/>
        </w:numPr>
      </w:pPr>
      <w:r>
        <w:rPr>
          <w:b/>
          <w:bCs/>
        </w:rPr>
        <w:t xml:space="preserve">Single Source of Truth (SSOT)</w:t>
      </w:r>
      <w:r>
        <w:t xml:space="preserve"> </w:t>
      </w:r>
      <w:r>
        <w:t xml:space="preserve">— Every canonical claim in UIAO has exactly one authoritative origin. All other representations are derived pointers, never copies. This guarantees provenance, prevents drift, and enables secure federated truth resolution across federal, SLTT, and regulated industry boundaries.</w:t>
      </w:r>
    </w:p>
    <w:p>
      <w:pPr>
        <w:numPr>
          <w:ilvl w:val="0"/>
          <w:numId w:val="1001"/>
        </w:numPr>
      </w:pPr>
      <w:r>
        <w:rPr>
          <w:b/>
          <w:bCs/>
        </w:rPr>
        <w:t xml:space="preserve">Conversation as the atomic unit</w:t>
      </w:r>
      <w:r>
        <w:t xml:space="preserve"> </w:t>
      </w:r>
      <w:r>
        <w:t xml:space="preserve">— Every interaction binds identity, certificates, addressing, path, QoS, and telemetry.</w:t>
      </w:r>
    </w:p>
    <w:p>
      <w:pPr>
        <w:numPr>
          <w:ilvl w:val="0"/>
          <w:numId w:val="1001"/>
        </w:numPr>
      </w:pPr>
      <w:r>
        <w:rPr>
          <w:b/>
          <w:bCs/>
        </w:rPr>
        <w:t xml:space="preserve">Identity as the root namespace</w:t>
      </w:r>
      <w:r>
        <w:t xml:space="preserve"> </w:t>
      </w:r>
      <w:r>
        <w:t xml:space="preserve">— Every IP, certificate, subnet, policy, and telemetry event is derived from identity.</w:t>
      </w:r>
    </w:p>
    <w:p>
      <w:pPr>
        <w:numPr>
          <w:ilvl w:val="0"/>
          <w:numId w:val="1001"/>
        </w:numPr>
      </w:pPr>
      <w:r>
        <w:rPr>
          <w:b/>
          <w:bCs/>
        </w:rPr>
        <w:t xml:space="preserve">Deterministic addressing</w:t>
      </w:r>
      <w:r>
        <w:t xml:space="preserve"> </w:t>
      </w:r>
      <w:r>
        <w:t xml:space="preserve">— Addressing is identity-derived and policy-driven.</w:t>
      </w:r>
    </w:p>
    <w:p>
      <w:pPr>
        <w:numPr>
          <w:ilvl w:val="0"/>
          <w:numId w:val="1001"/>
        </w:numPr>
      </w:pPr>
      <w:r>
        <w:rPr>
          <w:b/>
          <w:bCs/>
        </w:rPr>
        <w:t xml:space="preserve">Certificate-anchored overlay</w:t>
      </w:r>
      <w:r>
        <w:t xml:space="preserve"> </w:t>
      </w:r>
      <w:r>
        <w:t xml:space="preserve">— mTLS anchors tunnels, services, and trust relationships.</w:t>
      </w:r>
    </w:p>
    <w:p>
      <w:pPr>
        <w:numPr>
          <w:ilvl w:val="0"/>
          <w:numId w:val="1001"/>
        </w:numPr>
      </w:pPr>
      <w:r>
        <w:rPr>
          <w:b/>
          <w:bCs/>
        </w:rPr>
        <w:t xml:space="preserve">Telemetry as control</w:t>
      </w:r>
      <w:r>
        <w:t xml:space="preserve"> </w:t>
      </w:r>
      <w:r>
        <w:t xml:space="preserve">— Telemetry is a real-time control input, not passive reporting.</w:t>
      </w:r>
    </w:p>
    <w:p>
      <w:pPr>
        <w:numPr>
          <w:ilvl w:val="0"/>
          <w:numId w:val="1001"/>
        </w:numPr>
      </w:pPr>
      <w:r>
        <w:rPr>
          <w:b/>
          <w:bCs/>
        </w:rPr>
        <w:t xml:space="preserve">Embedded governance and automation</w:t>
      </w:r>
      <w:r>
        <w:t xml:space="preserve"> </w:t>
      </w:r>
      <w:r>
        <w:t xml:space="preserve">— Governance is executed through orchestrated workflows, not manual tickets.</w:t>
      </w:r>
    </w:p>
    <w:p>
      <w:pPr>
        <w:numPr>
          <w:ilvl w:val="0"/>
          <w:numId w:val="1001"/>
        </w:numPr>
      </w:pPr>
      <w:r>
        <w:rPr>
          <w:b/>
          <w:bCs/>
        </w:rPr>
        <w:t xml:space="preserve">Public service first</w:t>
      </w:r>
      <w:r>
        <w:t xml:space="preserve"> </w:t>
      </w:r>
      <w:r>
        <w:t xml:space="preserve">— Citizen experience, accessibility, and privacy are top-level design constraints.</w:t>
      </w:r>
    </w:p>
    <w:p>
      <w:r>
        <w:pict>
          <v:rect style="width:0;height:1.5pt" o:hralign="center" o:hrstd="t" o:hr="t"/>
        </w:pict>
      </w:r>
    </w:p>
    <w:bookmarkEnd w:id="20"/>
    <w:bookmarkStart w:id="21" w:name="governance-rule"/>
    <w:p>
      <w:pPr>
        <w:pStyle w:val="Heading2"/>
      </w:pPr>
      <w:r>
        <w:t xml:space="preserve">1.2 Governance Rule</w:t>
      </w:r>
    </w:p>
    <w:p>
      <w:pPr>
        <w:pStyle w:val="FirstParagraph"/>
      </w:pPr>
      <w:r>
        <w:t xml:space="preserve">These principles are</w:t>
      </w:r>
      <w:r>
        <w:t xml:space="preserve"> </w:t>
      </w:r>
      <w:r>
        <w:rPr>
          <w:b/>
          <w:bCs/>
        </w:rPr>
        <w:t xml:space="preserve">frozen</w:t>
      </w:r>
      <w:r>
        <w:t xml:space="preserve"> </w:t>
      </w:r>
      <w:r>
        <w:t xml:space="preserve">at the architecture level. Any proposed modification requires:</w:t>
      </w:r>
      <w:r>
        <w:t xml:space="preserve"> </w:t>
      </w:r>
      <w:r>
        <w:t xml:space="preserve">- Canon Steward review</w:t>
      </w:r>
      <w:r>
        <w:t xml:space="preserve"> </w:t>
      </w:r>
      <w:r>
        <w:t xml:space="preserve">- Update only to this master file</w:t>
      </w:r>
      <w:r>
        <w:t xml:space="preserve"> </w:t>
      </w:r>
      <w:r>
        <w:t xml:space="preserve">- Propagation via controlled remediation workflow</w:t>
      </w:r>
      <w:r>
        <w:t xml:space="preserve"> </w:t>
      </w:r>
      <w:r>
        <w:t xml:space="preserve">- Generation of a KSI evidence bundle documenting the change</w:t>
      </w:r>
    </w:p>
    <w:p>
      <w:pPr>
        <w:pStyle w:val="BodyText"/>
      </w:pPr>
      <w:r>
        <w:rPr>
          <w:b/>
          <w:bCs/>
        </w:rPr>
        <w:t xml:space="preserve">Reference convention</w:t>
      </w:r>
      <w:r>
        <w:t xml:space="preserve">: Other documents should link to or include this file rather than duplicating the list.</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Core Principles</dc:title>
  <dc:creator>UIAO Canon Steward</dc:creator>
  <dc:language>en</dc:language>
  <cp:keywords/>
  <dcterms:created xsi:type="dcterms:W3CDTF">2026-04-02T14:08:17Z</dcterms:created>
  <dcterms:modified xsi:type="dcterms:W3CDTF">2026-04-02T14:08:17Z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2,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