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07 Leadershipbriefing</w:t>
      </w:r>
    </w:p>
    <w:p>
      <w:pPr>
        <w:pStyle w:val="Author"/>
      </w:pPr>
      <w:r>
        <w:t xml:space="preserve">UIAO Modernization Program</w:t>
      </w:r>
    </w:p>
    <w:p>
      <w:pPr>
        <w:pStyle w:val="Date"/>
      </w:pPr>
      <w:r>
        <w:t xml:space="preserve">April 2,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d8a29185bf456d16f80f769a4107450c17921cc"/>
    <w:p>
      <w:pPr>
        <w:pStyle w:val="Heading1"/>
      </w:pPr>
      <w:r>
        <w:t xml:space="preserve">1. Leadership Briefing — Unified Identity-Addressing-Overlay Architecture (UIAO)</w:t>
      </w:r>
    </w:p>
    <w:bookmarkStart w:id="20" w:name="title-page"/>
    <w:p>
      <w:pPr>
        <w:pStyle w:val="Heading2"/>
      </w:pPr>
      <w:r>
        <w:t xml:space="preserve">1.1 1. Title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Format</w:t>
            </w:r>
          </w:p>
        </w:tc>
        <w:tc>
          <w:tcPr/>
          <w:p>
            <w:pPr>
              <w:pStyle w:val="Compact"/>
            </w:pPr>
            <w:r>
              <w:t xml:space="preserve">Executive Slide-Deck (Markdown)</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March 2026</w:t>
            </w:r>
          </w:p>
        </w:tc>
      </w:tr>
      <w:tr>
        <w:tc>
          <w:tcPr/>
          <w:p>
            <w:pPr>
              <w:pStyle w:val="Compact"/>
            </w:pPr>
            <w:r>
              <w:rPr>
                <w:b/>
                <w:bCs/>
              </w:rPr>
              <w:t xml:space="preserve">Classification</w:t>
            </w:r>
          </w:p>
        </w:tc>
        <w:tc>
          <w:tcPr/>
          <w:p>
            <w:pPr>
              <w:pStyle w:val="Compact"/>
            </w:pPr>
            <w:r>
              <w:t xml:space="preserve">CUI/FOUO</w:t>
            </w:r>
          </w:p>
        </w:tc>
      </w:tr>
      <w:tr>
        <w:tc>
          <w:tcPr/>
          <w:p>
            <w:pPr>
              <w:pStyle w:val="Compact"/>
            </w:pPr>
            <w:r>
              <w:rPr>
                <w:b/>
                <w:bCs/>
              </w:rPr>
              <w:t xml:space="preserve">Source Planes</w:t>
            </w:r>
          </w:p>
        </w:tc>
        <w:tc>
          <w:tcPr/>
          <w:p>
            <w:pPr>
              <w:pStyle w:val="Compact"/>
            </w:pPr>
            <w:r>
              <w:t xml:space="preserve">Identity, Network, Addressing, Telemetry, Security, Management</w:t>
            </w:r>
          </w:p>
        </w:tc>
      </w:tr>
      <w:tr>
        <w:tc>
          <w:tcPr/>
          <w:p>
            <w:pPr>
              <w:pStyle w:val="Compact"/>
            </w:pPr>
            <w:r>
              <w:rPr>
                <w:b/>
                <w:bCs/>
              </w:rPr>
              <w:t xml:space="preserve">Document Type</w:t>
            </w:r>
          </w:p>
        </w:tc>
        <w:tc>
          <w:tcPr/>
          <w:p>
            <w:pPr>
              <w:pStyle w:val="Compact"/>
            </w:pPr>
            <w:r>
              <w:t xml:space="preserve">Leadership Briefing (01_Canon)</w:t>
            </w:r>
          </w:p>
        </w:tc>
      </w:tr>
    </w:tbl>
    <w:p>
      <w:r>
        <w:pict>
          <v:rect style="width:0;height:1.5pt" o:hralign="center" o:hrstd="t" o:hr="t"/>
        </w:pict>
      </w:r>
    </w:p>
    <w:bookmarkEnd w:id="20"/>
    <w:bookmarkStart w:id="21" w:name="purpose"/>
    <w:p>
      <w:pPr>
        <w:pStyle w:val="Heading2"/>
      </w:pPr>
      <w:r>
        <w:t xml:space="preserve">1.2 2. Purpose</w:t>
      </w:r>
    </w:p>
    <w:p>
      <w:pPr>
        <w:pStyle w:val="FirstParagraph"/>
      </w:pPr>
      <w:r>
        <w:t xml:space="preserve">This document provides an executive-level briefing on the Unified Identity-Addressing-Overlay Architecture (UIAO). It is designed for CIOs, CISOs, CTOs, PMOs, and mission executives who need to understand the modernization program at a glance. The briefing is structured as a slide-deck narrative and covers program overview, challenges, vision, architecture, compliance alignment, governance, timeline, and outcomes.</w:t>
      </w:r>
    </w:p>
    <w:p>
      <w:r>
        <w:pict>
          <v:rect style="width:0;height:1.5pt" o:hralign="center" o:hrstd="t" o:hr="t"/>
        </w:pict>
      </w:r>
    </w:p>
    <w:bookmarkEnd w:id="21"/>
    <w:bookmarkStart w:id="24" w:name="scope"/>
    <w:p>
      <w:pPr>
        <w:pStyle w:val="Heading2"/>
      </w:pPr>
      <w:r>
        <w:t xml:space="preserve">1.3 3. Scope</w:t>
      </w:r>
    </w:p>
    <w:bookmarkStart w:id="22" w:name="included"/>
    <w:p>
      <w:pPr>
        <w:pStyle w:val="Heading3"/>
      </w:pPr>
      <w:r>
        <w:t xml:space="preserve">1.3.1 Included</w:t>
      </w:r>
    </w:p>
    <w:p>
      <w:pPr>
        <w:pStyle w:val="Compact"/>
        <w:numPr>
          <w:ilvl w:val="0"/>
          <w:numId w:val="1001"/>
        </w:numPr>
      </w:pPr>
      <w:r>
        <w:t xml:space="preserve">Program overview and strategic goal</w:t>
      </w:r>
    </w:p>
    <w:p>
      <w:pPr>
        <w:pStyle w:val="Compact"/>
        <w:numPr>
          <w:ilvl w:val="0"/>
          <w:numId w:val="1001"/>
        </w:numPr>
      </w:pPr>
      <w:r>
        <w:t xml:space="preserve">Current state challenges and mission impact</w:t>
      </w:r>
    </w:p>
    <w:p>
      <w:pPr>
        <w:pStyle w:val="Compact"/>
        <w:numPr>
          <w:ilvl w:val="0"/>
          <w:numId w:val="1001"/>
        </w:numPr>
      </w:pPr>
      <w:r>
        <w:t xml:space="preserve">End-state vision and guiding principles</w:t>
      </w:r>
    </w:p>
    <w:p>
      <w:pPr>
        <w:pStyle w:val="Compact"/>
        <w:numPr>
          <w:ilvl w:val="0"/>
          <w:numId w:val="1001"/>
        </w:numPr>
      </w:pPr>
      <w:r>
        <w:t xml:space="preserve">Six Control Planes and Eight Core Concepts</w:t>
      </w:r>
    </w:p>
    <w:p>
      <w:pPr>
        <w:pStyle w:val="Compact"/>
        <w:numPr>
          <w:ilvl w:val="0"/>
          <w:numId w:val="1001"/>
        </w:numPr>
      </w:pPr>
      <w:r>
        <w:t xml:space="preserve">Frozen state analysis</w:t>
      </w:r>
    </w:p>
    <w:p>
      <w:pPr>
        <w:pStyle w:val="Compact"/>
        <w:numPr>
          <w:ilvl w:val="0"/>
          <w:numId w:val="1001"/>
        </w:numPr>
      </w:pPr>
      <w:r>
        <w:t xml:space="preserve">Program outcomes</w:t>
      </w:r>
    </w:p>
    <w:p>
      <w:pPr>
        <w:pStyle w:val="Compact"/>
        <w:numPr>
          <w:ilvl w:val="0"/>
          <w:numId w:val="1001"/>
        </w:numPr>
      </w:pPr>
      <w:r>
        <w:t xml:space="preserve">Runtime model</w:t>
      </w:r>
    </w:p>
    <w:p>
      <w:pPr>
        <w:pStyle w:val="Compact"/>
        <w:numPr>
          <w:ilvl w:val="0"/>
          <w:numId w:val="1001"/>
        </w:numPr>
      </w:pPr>
      <w:r>
        <w:t xml:space="preserve">Compliance alignment (FedRAMP 20x, TIC 3.0, NIST 800-63)</w:t>
      </w:r>
    </w:p>
    <w:p>
      <w:pPr>
        <w:pStyle w:val="Compact"/>
        <w:numPr>
          <w:ilvl w:val="0"/>
          <w:numId w:val="1001"/>
        </w:numPr>
      </w:pPr>
      <w:r>
        <w:t xml:space="preserve">Governance and drift controls</w:t>
      </w:r>
    </w:p>
    <w:p>
      <w:pPr>
        <w:pStyle w:val="Compact"/>
        <w:numPr>
          <w:ilvl w:val="0"/>
          <w:numId w:val="1001"/>
        </w:numPr>
      </w:pPr>
      <w:r>
        <w:t xml:space="preserve">Modernization timeline summary</w:t>
      </w:r>
    </w:p>
    <w:p>
      <w:pPr>
        <w:pStyle w:val="Compact"/>
        <w:numPr>
          <w:ilvl w:val="0"/>
          <w:numId w:val="1001"/>
        </w:numPr>
      </w:pPr>
      <w:r>
        <w:t xml:space="preserve">Executive summary</w:t>
      </w:r>
    </w:p>
    <w:bookmarkEnd w:id="22"/>
    <w:bookmarkStart w:id="23" w:name="excluded"/>
    <w:p>
      <w:pPr>
        <w:pStyle w:val="Heading3"/>
      </w:pPr>
      <w:r>
        <w:t xml:space="preserve">1.3.2 Excluded</w:t>
      </w:r>
    </w:p>
    <w:p>
      <w:pPr>
        <w:pStyle w:val="Compact"/>
        <w:numPr>
          <w:ilvl w:val="0"/>
          <w:numId w:val="1002"/>
        </w:numPr>
      </w:pPr>
      <w:r>
        <w:t xml:space="preserve">Detailed technical implementation procedures</w:t>
      </w:r>
    </w:p>
    <w:p>
      <w:pPr>
        <w:pStyle w:val="Compact"/>
        <w:numPr>
          <w:ilvl w:val="0"/>
          <w:numId w:val="1002"/>
        </w:numPr>
      </w:pPr>
      <w:r>
        <w:t xml:space="preserve">Vendor procurement or licensing details</w:t>
      </w:r>
    </w:p>
    <w:p>
      <w:pPr>
        <w:pStyle w:val="Compact"/>
        <w:numPr>
          <w:ilvl w:val="0"/>
          <w:numId w:val="1002"/>
        </w:numPr>
      </w:pPr>
      <w:r>
        <w:t xml:space="preserve">Operational runbooks or playbooks</w:t>
      </w:r>
    </w:p>
    <w:p>
      <w:pPr>
        <w:pStyle w:val="Compact"/>
        <w:numPr>
          <w:ilvl w:val="0"/>
          <w:numId w:val="1002"/>
        </w:numPr>
      </w:pPr>
      <w:r>
        <w:t xml:space="preserve">Per-device or per-endpoint configuration</w:t>
      </w:r>
    </w:p>
    <w:p>
      <w:r>
        <w:pict>
          <v:rect style="width:0;height:1.5pt" o:hralign="center" o:hrstd="t" o:hr="t"/>
        </w:pict>
      </w:r>
    </w:p>
    <w:bookmarkEnd w:id="23"/>
    <w:bookmarkEnd w:id="24"/>
    <w:bookmarkStart w:id="25" w:name="control-plane-alignment"/>
    <w:p>
      <w:pPr>
        <w:pStyle w:val="Heading2"/>
      </w:pPr>
      <w:r>
        <w:t xml:space="preserve">1.4 4. Control Plane Alignment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Strategic Role</w:t>
            </w:r>
          </w:p>
        </w:tc>
      </w:tr>
      <w:tr>
        <w:tc>
          <w:tcPr/>
          <w:p>
            <w:pPr>
              <w:pStyle w:val="Compact"/>
            </w:pPr>
            <w:r>
              <w:t xml:space="preserve">Identity</w:t>
            </w:r>
          </w:p>
        </w:tc>
        <w:tc>
          <w:tcPr/>
          <w:p>
            <w:pPr>
              <w:pStyle w:val="Compact"/>
            </w:pPr>
            <w:r>
              <w:t xml:space="preserve">Entra ID, ICAM governance, Conditional Access, PIM, lifecycle automation</w:t>
            </w:r>
          </w:p>
        </w:tc>
      </w:tr>
      <w:tr>
        <w:tc>
          <w:tcPr/>
          <w:p>
            <w:pPr>
              <w:pStyle w:val="Compact"/>
            </w:pPr>
            <w:r>
              <w:t xml:space="preserve">Network</w:t>
            </w:r>
          </w:p>
        </w:tc>
        <w:tc>
          <w:tcPr/>
          <w:p>
            <w:pPr>
              <w:pStyle w:val="Compact"/>
            </w:pPr>
            <w:r>
              <w:t xml:space="preserve">Cisco Catalyst SD-WAN, Cloud OnRamp for M365, INR integration, identity-aware segmentation</w:t>
            </w:r>
          </w:p>
        </w:tc>
      </w:tr>
      <w:tr>
        <w:tc>
          <w:tcPr/>
          <w:p>
            <w:pPr>
              <w:pStyle w:val="Compact"/>
            </w:pPr>
            <w:r>
              <w:t xml:space="preserve">Addressing</w:t>
            </w:r>
          </w:p>
        </w:tc>
        <w:tc>
          <w:tcPr/>
          <w:p>
            <w:pPr>
              <w:pStyle w:val="Compact"/>
            </w:pPr>
            <w:r>
              <w:t xml:space="preserve">InfoBlox IPAM, DNS/DHCP modernization, cloud IPAM reconciliation</w:t>
            </w:r>
          </w:p>
        </w:tc>
      </w:tr>
      <w:tr>
        <w:tc>
          <w:tcPr/>
          <w:p>
            <w:pPr>
              <w:pStyle w:val="Compact"/>
            </w:pPr>
            <w:r>
              <w:t xml:space="preserve">Telemetry</w:t>
            </w:r>
          </w:p>
        </w:tc>
        <w:tc>
          <w:tcPr/>
          <w:p>
            <w:pPr>
              <w:pStyle w:val="Compact"/>
            </w:pPr>
            <w:r>
              <w:t xml:space="preserve">M365 Network Telemetry, SD-WAN telemetry, endpoint telemetry, DNS telemetry, CDM/CLAW, SIEM ingestion</w:t>
            </w:r>
          </w:p>
        </w:tc>
      </w:tr>
      <w:tr>
        <w:tc>
          <w:tcPr/>
          <w:p>
            <w:pPr>
              <w:pStyle w:val="Compact"/>
            </w:pPr>
            <w:r>
              <w:t xml:space="preserve">Security</w:t>
            </w:r>
          </w:p>
        </w:tc>
        <w:tc>
          <w:tcPr/>
          <w:p>
            <w:pPr>
              <w:pStyle w:val="Compact"/>
            </w:pPr>
            <w:r>
              <w:t xml:space="preserve">TIC 3.0 Cloud + Branch, Zero Trust, FedRAMP alignment, NIST 800-63, ICAM governance</w:t>
            </w:r>
          </w:p>
        </w:tc>
      </w:tr>
      <w:tr>
        <w:tc>
          <w:tcPr/>
          <w:p>
            <w:pPr>
              <w:pStyle w:val="Compact"/>
            </w:pPr>
            <w:r>
              <w:t xml:space="preserve">Management</w:t>
            </w:r>
          </w:p>
        </w:tc>
        <w:tc>
          <w:tcPr/>
          <w:p>
            <w:pPr>
              <w:pStyle w:val="Compact"/>
            </w:pPr>
            <w:r>
              <w:t xml:space="preserve">ServiceNow (CMDB, change, drift detection), Intune (device trust, compliance, configuration)</w:t>
            </w:r>
          </w:p>
        </w:tc>
      </w:tr>
    </w:tbl>
    <w:p>
      <w:r>
        <w:pict>
          <v:rect style="width:0;height:1.5pt" o:hralign="center" o:hrstd="t" o:hr="t"/>
        </w:pict>
      </w:r>
    </w:p>
    <w:bookmarkEnd w:id="25"/>
    <w:bookmarkStart w:id="26" w:name="core-concepts"/>
    <w:p>
      <w:pPr>
        <w:pStyle w:val="Heading2"/>
      </w:pPr>
      <w:r>
        <w:t xml:space="preserve">1.5 5. Core Concepts</w:t>
      </w:r>
    </w:p>
    <w:p>
      <w:pPr>
        <w:pStyle w:val="FirstParagraph"/>
      </w:pPr>
      <w:r>
        <w:t xml:space="preserve">The Eight Core Concepts govern the UIAO architecture:</w:t>
      </w:r>
    </w:p>
    <w:p>
      <w:pPr>
        <w:pStyle w:val="Compact"/>
        <w:numPr>
          <w:ilvl w:val="0"/>
          <w:numId w:val="1003"/>
        </w:numPr>
      </w:pPr>
      <w:r>
        <w:rPr>
          <w:b/>
          <w:bCs/>
        </w:rPr>
        <w:t xml:space="preserve">Single Source of Truth (SSOT)</w:t>
      </w:r>
      <w:r>
        <w:t xml:space="preserve"> </w:t>
      </w:r>
      <w:r>
        <w:t xml:space="preserve">— UIAO operates on the principle that every claim has one authoritative origin. All other representations are pointers, not copies. This ensures provenance, prevents drift, and enables federated truth resolution across boundaries.</w:t>
      </w:r>
    </w:p>
    <w:p>
      <w:pPr>
        <w:pStyle w:val="Compact"/>
        <w:numPr>
          <w:ilvl w:val="0"/>
          <w:numId w:val="1003"/>
        </w:numPr>
      </w:pPr>
      <w:r>
        <w:rPr>
          <w:b/>
          <w:bCs/>
        </w:rPr>
        <w:t xml:space="preserve">Conversation as the atomic unit</w:t>
      </w:r>
      <w:r>
        <w:t xml:space="preserve"> </w:t>
      </w:r>
      <w:r>
        <w:t xml:space="preserve">— Every interaction binds identity, certificates, addressing, path, QoS, and telemetry.</w:t>
      </w:r>
    </w:p>
    <w:p>
      <w:pPr>
        <w:pStyle w:val="Compact"/>
        <w:numPr>
          <w:ilvl w:val="0"/>
          <w:numId w:val="1003"/>
        </w:numPr>
      </w:pPr>
      <w:r>
        <w:rPr>
          <w:b/>
          <w:bCs/>
        </w:rPr>
        <w:t xml:space="preserve">Identity as the root namespace</w:t>
      </w:r>
      <w:r>
        <w:t xml:space="preserve"> </w:t>
      </w:r>
      <w:r>
        <w:t xml:space="preserve">— Every IP, certificate, subnet, policy, and telemetry event is derived from identity.</w:t>
      </w:r>
    </w:p>
    <w:p>
      <w:pPr>
        <w:pStyle w:val="Compact"/>
        <w:numPr>
          <w:ilvl w:val="0"/>
          <w:numId w:val="1003"/>
        </w:numPr>
      </w:pPr>
      <w:r>
        <w:rPr>
          <w:b/>
          <w:bCs/>
        </w:rPr>
        <w:t xml:space="preserve">Deterministic addressing</w:t>
      </w:r>
      <w:r>
        <w:t xml:space="preserve"> </w:t>
      </w:r>
      <w:r>
        <w:t xml:space="preserve">— Addressing is identity-derived and policy-driven.</w:t>
      </w:r>
    </w:p>
    <w:p>
      <w:pPr>
        <w:pStyle w:val="Compact"/>
        <w:numPr>
          <w:ilvl w:val="0"/>
          <w:numId w:val="1003"/>
        </w:numPr>
      </w:pPr>
      <w:r>
        <w:rPr>
          <w:b/>
          <w:bCs/>
        </w:rPr>
        <w:t xml:space="preserve">Certificate-anchored overlay</w:t>
      </w:r>
      <w:r>
        <w:t xml:space="preserve"> </w:t>
      </w:r>
      <w:r>
        <w:t xml:space="preserve">— mTLS anchors tunnels, services, and trust relationships.</w:t>
      </w:r>
    </w:p>
    <w:p>
      <w:pPr>
        <w:pStyle w:val="Compact"/>
        <w:numPr>
          <w:ilvl w:val="0"/>
          <w:numId w:val="1003"/>
        </w:numPr>
      </w:pPr>
      <w:r>
        <w:rPr>
          <w:b/>
          <w:bCs/>
        </w:rPr>
        <w:t xml:space="preserve">Telemetry as control</w:t>
      </w:r>
      <w:r>
        <w:t xml:space="preserve"> </w:t>
      </w:r>
      <w:r>
        <w:t xml:space="preserve">— Telemetry is a real-time control input, not passive reporting.</w:t>
      </w:r>
    </w:p>
    <w:p>
      <w:pPr>
        <w:pStyle w:val="Compact"/>
        <w:numPr>
          <w:ilvl w:val="0"/>
          <w:numId w:val="1003"/>
        </w:numPr>
      </w:pPr>
      <w:r>
        <w:rPr>
          <w:b/>
          <w:bCs/>
        </w:rPr>
        <w:t xml:space="preserve">Embedded governance and automation</w:t>
      </w:r>
      <w:r>
        <w:t xml:space="preserve"> </w:t>
      </w:r>
      <w:r>
        <w:t xml:space="preserve">— Governance is executed through orchestrated workflows, not manual tickets.</w:t>
      </w:r>
    </w:p>
    <w:p>
      <w:pPr>
        <w:pStyle w:val="Compact"/>
        <w:numPr>
          <w:ilvl w:val="0"/>
          <w:numId w:val="1003"/>
        </w:numPr>
      </w:pPr>
      <w:r>
        <w:rPr>
          <w:b/>
          <w:bCs/>
        </w:rPr>
        <w:t xml:space="preserve">Public service first</w:t>
      </w:r>
      <w:r>
        <w:t xml:space="preserve"> </w:t>
      </w:r>
      <w:r>
        <w:t xml:space="preserve">— Citizen experience, accessibility, and privacy are top-level design constraints.</w:t>
      </w:r>
    </w:p>
    <w:p>
      <w:r>
        <w:pict>
          <v:rect style="width:0;height:1.5pt" o:hralign="center" o:hrstd="t" o:hr="t"/>
        </w:pict>
      </w:r>
    </w:p>
    <w:bookmarkEnd w:id="26"/>
    <w:bookmarkStart w:id="41" w:name="architecture-model"/>
    <w:p>
      <w:pPr>
        <w:pStyle w:val="Heading2"/>
      </w:pPr>
      <w:r>
        <w:t xml:space="preserve">1.6 6. Architecture Model</w:t>
      </w:r>
    </w:p>
    <w:bookmarkStart w:id="27" w:name="slide-1-program-overview"/>
    <w:p>
      <w:pPr>
        <w:pStyle w:val="Heading3"/>
      </w:pPr>
      <w:r>
        <w:t xml:space="preserve">1.6.1 Slide 1 — Program Overview</w:t>
      </w:r>
    </w:p>
    <w:p>
      <w:pPr>
        <w:pStyle w:val="FirstParagraph"/>
      </w:pPr>
      <w:r>
        <w:t xml:space="preserve">Unified Identity-Addressing-Overlay Architecture (UIAO) is a coordinated modernization effort across:</w:t>
      </w:r>
    </w:p>
    <w:p>
      <w:pPr>
        <w:pStyle w:val="Compact"/>
        <w:numPr>
          <w:ilvl w:val="0"/>
          <w:numId w:val="1004"/>
        </w:numPr>
      </w:pPr>
      <w:r>
        <w:rPr>
          <w:b/>
          <w:bCs/>
        </w:rPr>
        <w:t xml:space="preserve">Microsoft Entra ID</w:t>
      </w:r>
      <w:r>
        <w:t xml:space="preserve"> </w:t>
      </w:r>
      <w:r>
        <w:t xml:space="preserve">— Identity Control Plane</w:t>
      </w:r>
    </w:p>
    <w:p>
      <w:pPr>
        <w:pStyle w:val="Compact"/>
        <w:numPr>
          <w:ilvl w:val="0"/>
          <w:numId w:val="1004"/>
        </w:numPr>
      </w:pPr>
      <w:r>
        <w:rPr>
          <w:b/>
          <w:bCs/>
        </w:rPr>
        <w:t xml:space="preserve">ICAM (NIST 800-63, OMB M-19-17)</w:t>
      </w:r>
      <w:r>
        <w:t xml:space="preserve"> </w:t>
      </w:r>
      <w:r>
        <w:t xml:space="preserve">— Governance Backbone</w:t>
      </w:r>
    </w:p>
    <w:p>
      <w:pPr>
        <w:pStyle w:val="Compact"/>
        <w:numPr>
          <w:ilvl w:val="0"/>
          <w:numId w:val="1004"/>
        </w:numPr>
      </w:pPr>
      <w:r>
        <w:rPr>
          <w:b/>
          <w:bCs/>
        </w:rPr>
        <w:t xml:space="preserve">InfoBlox IPAM</w:t>
      </w:r>
      <w:r>
        <w:t xml:space="preserve"> </w:t>
      </w:r>
      <w:r>
        <w:t xml:space="preserve">— Addressing Control Plane</w:t>
      </w:r>
    </w:p>
    <w:p>
      <w:pPr>
        <w:pStyle w:val="Compact"/>
        <w:numPr>
          <w:ilvl w:val="0"/>
          <w:numId w:val="1004"/>
        </w:numPr>
      </w:pPr>
      <w:r>
        <w:rPr>
          <w:b/>
          <w:bCs/>
        </w:rPr>
        <w:t xml:space="preserve">Cisco Catalyst SD-WAN</w:t>
      </w:r>
      <w:r>
        <w:t xml:space="preserve"> </w:t>
      </w:r>
      <w:r>
        <w:t xml:space="preserve">— Network Control Plane</w:t>
      </w:r>
    </w:p>
    <w:p>
      <w:pPr>
        <w:pStyle w:val="Compact"/>
        <w:numPr>
          <w:ilvl w:val="0"/>
          <w:numId w:val="1004"/>
        </w:numPr>
      </w:pPr>
      <w:r>
        <w:rPr>
          <w:b/>
          <w:bCs/>
        </w:rPr>
        <w:t xml:space="preserve">Cloud Telemetry + Location Services</w:t>
      </w:r>
      <w:r>
        <w:t xml:space="preserve"> </w:t>
      </w:r>
      <w:r>
        <w:t xml:space="preserve">— Telemetry Control Plane</w:t>
      </w:r>
    </w:p>
    <w:p>
      <w:pPr>
        <w:pStyle w:val="Compact"/>
        <w:numPr>
          <w:ilvl w:val="0"/>
          <w:numId w:val="1004"/>
        </w:numPr>
      </w:pPr>
      <w:r>
        <w:rPr>
          <w:b/>
          <w:bCs/>
        </w:rPr>
        <w:t xml:space="preserve">TIC 3.0 Cloud + Branch</w:t>
      </w:r>
      <w:r>
        <w:t xml:space="preserve"> </w:t>
      </w:r>
      <w:r>
        <w:t xml:space="preserve">— Security and Compliance Plane</w:t>
      </w:r>
    </w:p>
    <w:p>
      <w:pPr>
        <w:pStyle w:val="FirstParagraph"/>
      </w:pPr>
      <w:r>
        <w:rPr>
          <w:b/>
          <w:bCs/>
        </w:rPr>
        <w:t xml:space="preserve">Strategic Goal:</w:t>
      </w:r>
      <w:r>
        <w:t xml:space="preserve"> </w:t>
      </w:r>
      <w:r>
        <w:t xml:space="preserve">Deliver a drop-in overlay that restores cross-service telemetry and identity correlation in FedRAMP Moderate environments where native platforms cannot.</w:t>
      </w:r>
    </w:p>
    <w:bookmarkEnd w:id="27"/>
    <w:bookmarkStart w:id="30" w:name="slide-2-why-modernization-is-required"/>
    <w:p>
      <w:pPr>
        <w:pStyle w:val="Heading3"/>
      </w:pPr>
      <w:r>
        <w:t xml:space="preserve">1.6.2 Slide 2 — Why Modernization Is Required</w:t>
      </w:r>
    </w:p>
    <w:bookmarkStart w:id="28" w:name="current-state-challenges"/>
    <w:p>
      <w:pPr>
        <w:pStyle w:val="Heading4"/>
      </w:pPr>
      <w:r>
        <w:t xml:space="preserve">1.6.2.1 Current State Challenges</w:t>
      </w:r>
    </w:p>
    <w:p>
      <w:pPr>
        <w:pStyle w:val="Compact"/>
        <w:numPr>
          <w:ilvl w:val="0"/>
          <w:numId w:val="1005"/>
        </w:numPr>
      </w:pPr>
      <w:r>
        <w:t xml:space="preserve">TIC 2.0 hairpin bottlenecks</w:t>
      </w:r>
    </w:p>
    <w:p>
      <w:pPr>
        <w:pStyle w:val="Compact"/>
        <w:numPr>
          <w:ilvl w:val="0"/>
          <w:numId w:val="1005"/>
        </w:numPr>
      </w:pPr>
      <w:r>
        <w:t xml:space="preserve">AD-centric identity with limited governance</w:t>
      </w:r>
    </w:p>
    <w:p>
      <w:pPr>
        <w:pStyle w:val="Compact"/>
        <w:numPr>
          <w:ilvl w:val="0"/>
          <w:numId w:val="1005"/>
        </w:numPr>
      </w:pPr>
      <w:r>
        <w:t xml:space="preserve">Fragmented IPAM across cloud and on-prem</w:t>
      </w:r>
    </w:p>
    <w:p>
      <w:pPr>
        <w:pStyle w:val="Compact"/>
        <w:numPr>
          <w:ilvl w:val="0"/>
          <w:numId w:val="1005"/>
        </w:numPr>
      </w:pPr>
      <w:r>
        <w:t xml:space="preserve">Limited telemetry visibility</w:t>
      </w:r>
    </w:p>
    <w:p>
      <w:pPr>
        <w:pStyle w:val="Compact"/>
        <w:numPr>
          <w:ilvl w:val="0"/>
          <w:numId w:val="1005"/>
        </w:numPr>
      </w:pPr>
      <w:r>
        <w:t xml:space="preserve">No INR or E911 readiness</w:t>
      </w:r>
    </w:p>
    <w:p>
      <w:pPr>
        <w:pStyle w:val="Compact"/>
        <w:numPr>
          <w:ilvl w:val="0"/>
          <w:numId w:val="1005"/>
        </w:numPr>
      </w:pPr>
      <w:r>
        <w:t xml:space="preserve">Inconsistent Zero Trust enforcement</w:t>
      </w:r>
    </w:p>
    <w:bookmarkEnd w:id="28"/>
    <w:bookmarkStart w:id="29" w:name="mission-impact"/>
    <w:p>
      <w:pPr>
        <w:pStyle w:val="Heading4"/>
      </w:pPr>
      <w:r>
        <w:t xml:space="preserve">1.6.2.2 Mission Impact</w:t>
      </w:r>
    </w:p>
    <w:p>
      <w:pPr>
        <w:pStyle w:val="Compact"/>
        <w:numPr>
          <w:ilvl w:val="0"/>
          <w:numId w:val="1006"/>
        </w:numPr>
      </w:pPr>
      <w:r>
        <w:t xml:space="preserve">Poor M365 performance</w:t>
      </w:r>
    </w:p>
    <w:p>
      <w:pPr>
        <w:pStyle w:val="Compact"/>
        <w:numPr>
          <w:ilvl w:val="0"/>
          <w:numId w:val="1006"/>
        </w:numPr>
      </w:pPr>
      <w:r>
        <w:t xml:space="preserve">Increased cyber risk</w:t>
      </w:r>
    </w:p>
    <w:p>
      <w:pPr>
        <w:pStyle w:val="Compact"/>
        <w:numPr>
          <w:ilvl w:val="0"/>
          <w:numId w:val="1006"/>
        </w:numPr>
      </w:pPr>
      <w:r>
        <w:t xml:space="preserve">Compliance gaps (TIC 3.0, FedRAMP 20x, SCuBA)</w:t>
      </w:r>
    </w:p>
    <w:p>
      <w:pPr>
        <w:pStyle w:val="Compact"/>
        <w:numPr>
          <w:ilvl w:val="0"/>
          <w:numId w:val="1006"/>
        </w:numPr>
      </w:pPr>
      <w:r>
        <w:t xml:space="preserve">Operational inefficiencies</w:t>
      </w:r>
    </w:p>
    <w:p>
      <w:pPr>
        <w:pStyle w:val="Compact"/>
        <w:numPr>
          <w:ilvl w:val="0"/>
          <w:numId w:val="1006"/>
        </w:numPr>
      </w:pPr>
      <w:r>
        <w:t xml:space="preserve">Slower mission execution</w:t>
      </w:r>
    </w:p>
    <w:bookmarkEnd w:id="29"/>
    <w:bookmarkEnd w:id="30"/>
    <w:bookmarkStart w:id="31" w:name="slide-3-program-vision"/>
    <w:p>
      <w:pPr>
        <w:pStyle w:val="Heading3"/>
      </w:pPr>
      <w:r>
        <w:t xml:space="preserve">1.6.3 Slide 3 — Program Vision</w:t>
      </w:r>
    </w:p>
    <w:p>
      <w:pPr>
        <w:pStyle w:val="FirstParagraph"/>
      </w:pPr>
      <w:r>
        <w:rPr>
          <w:b/>
          <w:bCs/>
        </w:rPr>
        <w:t xml:space="preserve">End State:</w:t>
      </w:r>
      <w:r>
        <w:t xml:space="preserve"> </w:t>
      </w:r>
      <w:r>
        <w:t xml:space="preserve">A FedRAMP Moderate environment with restored cross-service telemetry and deterministic identity correlation – delivered as a drop-in overlay.</w:t>
      </w:r>
    </w:p>
    <w:p>
      <w:pPr>
        <w:pStyle w:val="BodyText"/>
      </w:pPr>
      <w:r>
        <w:rPr>
          <w:b/>
          <w:bCs/>
        </w:rPr>
        <w:t xml:space="preserve">Guiding Principles:</w:t>
      </w:r>
    </w:p>
    <w:p>
      <w:pPr>
        <w:pStyle w:val="Compact"/>
        <w:numPr>
          <w:ilvl w:val="0"/>
          <w:numId w:val="1007"/>
        </w:numPr>
      </w:pPr>
      <w:r>
        <w:t xml:space="preserve">Zero Trust by default</w:t>
      </w:r>
    </w:p>
    <w:p>
      <w:pPr>
        <w:pStyle w:val="Compact"/>
        <w:numPr>
          <w:ilvl w:val="0"/>
          <w:numId w:val="1007"/>
        </w:numPr>
      </w:pPr>
      <w:r>
        <w:t xml:space="preserve">Identity as the new perimeter</w:t>
      </w:r>
    </w:p>
    <w:p>
      <w:pPr>
        <w:pStyle w:val="Compact"/>
        <w:numPr>
          <w:ilvl w:val="0"/>
          <w:numId w:val="1007"/>
        </w:numPr>
      </w:pPr>
      <w:r>
        <w:t xml:space="preserve">Telemetry as the truth source</w:t>
      </w:r>
    </w:p>
    <w:p>
      <w:pPr>
        <w:pStyle w:val="Compact"/>
        <w:numPr>
          <w:ilvl w:val="0"/>
          <w:numId w:val="1007"/>
        </w:numPr>
      </w:pPr>
      <w:r>
        <w:t xml:space="preserve">Cloud-first routing</w:t>
      </w:r>
    </w:p>
    <w:p>
      <w:pPr>
        <w:pStyle w:val="Compact"/>
        <w:numPr>
          <w:ilvl w:val="0"/>
          <w:numId w:val="1007"/>
        </w:numPr>
      </w:pPr>
      <w:r>
        <w:t xml:space="preserve">Incremental modernization (no big-bang)</w:t>
      </w:r>
    </w:p>
    <w:p>
      <w:pPr>
        <w:pStyle w:val="Compact"/>
        <w:numPr>
          <w:ilvl w:val="0"/>
          <w:numId w:val="1007"/>
        </w:numPr>
      </w:pPr>
      <w:r>
        <w:t xml:space="preserve">FedRAMP-aligned controls</w:t>
      </w:r>
    </w:p>
    <w:p>
      <w:pPr>
        <w:pStyle w:val="Compact"/>
        <w:numPr>
          <w:ilvl w:val="0"/>
          <w:numId w:val="1007"/>
        </w:numPr>
      </w:pPr>
      <w:r>
        <w:t xml:space="preserve">Modular, extensible architecture</w:t>
      </w:r>
    </w:p>
    <w:p>
      <w:pPr>
        <w:pStyle w:val="FirstParagraph"/>
      </w:pPr>
      <w:r>
        <w:rPr>
          <w:b/>
          <w:bCs/>
        </w:rPr>
        <w:t xml:space="preserve">Design Principle:</w:t>
      </w:r>
      <w:r>
        <w:t xml:space="preserve"> </w:t>
      </w:r>
      <w:r>
        <w:t xml:space="preserve">If it degrades the citizen interaction, it does not ship.</w:t>
      </w:r>
    </w:p>
    <w:bookmarkEnd w:id="31"/>
    <w:bookmarkStart w:id="38" w:name="slide-4-the-six-control-planes"/>
    <w:p>
      <w:pPr>
        <w:pStyle w:val="Heading3"/>
      </w:pPr>
      <w:r>
        <w:t xml:space="preserve">1.6.4 Slide 4 — The Six Control Planes</w:t>
      </w:r>
    </w:p>
    <w:bookmarkStart w:id="32" w:name="identity-control-plane"/>
    <w:p>
      <w:pPr>
        <w:pStyle w:val="Heading4"/>
      </w:pPr>
      <w:r>
        <w:t xml:space="preserve">1.6.4.1 Identity Control Plane</w:t>
      </w:r>
    </w:p>
    <w:p>
      <w:pPr>
        <w:pStyle w:val="Compact"/>
        <w:numPr>
          <w:ilvl w:val="0"/>
          <w:numId w:val="1008"/>
        </w:numPr>
      </w:pPr>
      <w:r>
        <w:t xml:space="preserve">Entra ID</w:t>
      </w:r>
    </w:p>
    <w:p>
      <w:pPr>
        <w:pStyle w:val="Compact"/>
        <w:numPr>
          <w:ilvl w:val="0"/>
          <w:numId w:val="1008"/>
        </w:numPr>
      </w:pPr>
      <w:r>
        <w:t xml:space="preserve">ICAM governance</w:t>
      </w:r>
    </w:p>
    <w:p>
      <w:pPr>
        <w:pStyle w:val="Compact"/>
        <w:numPr>
          <w:ilvl w:val="0"/>
          <w:numId w:val="1008"/>
        </w:numPr>
      </w:pPr>
      <w:r>
        <w:t xml:space="preserve">Conditional Access</w:t>
      </w:r>
    </w:p>
    <w:p>
      <w:pPr>
        <w:pStyle w:val="Compact"/>
        <w:numPr>
          <w:ilvl w:val="0"/>
          <w:numId w:val="1008"/>
        </w:numPr>
      </w:pPr>
      <w:r>
        <w:t xml:space="preserve">PIM</w:t>
      </w:r>
    </w:p>
    <w:p>
      <w:pPr>
        <w:pStyle w:val="Compact"/>
        <w:numPr>
          <w:ilvl w:val="0"/>
          <w:numId w:val="1008"/>
        </w:numPr>
      </w:pPr>
      <w:r>
        <w:t xml:space="preserve">Lifecycle automation</w:t>
      </w:r>
    </w:p>
    <w:bookmarkEnd w:id="32"/>
    <w:bookmarkStart w:id="33" w:name="network-control-plane"/>
    <w:p>
      <w:pPr>
        <w:pStyle w:val="Heading4"/>
      </w:pPr>
      <w:r>
        <w:t xml:space="preserve">1.6.4.2 Network Control Plane</w:t>
      </w:r>
    </w:p>
    <w:p>
      <w:pPr>
        <w:pStyle w:val="Compact"/>
        <w:numPr>
          <w:ilvl w:val="0"/>
          <w:numId w:val="1009"/>
        </w:numPr>
      </w:pPr>
      <w:r>
        <w:t xml:space="preserve">Cisco Catalyst SD-WAN</w:t>
      </w:r>
    </w:p>
    <w:p>
      <w:pPr>
        <w:pStyle w:val="Compact"/>
        <w:numPr>
          <w:ilvl w:val="0"/>
          <w:numId w:val="1009"/>
        </w:numPr>
      </w:pPr>
      <w:r>
        <w:t xml:space="preserve">Cloud OnRamp for M365</w:t>
      </w:r>
    </w:p>
    <w:p>
      <w:pPr>
        <w:pStyle w:val="Compact"/>
        <w:numPr>
          <w:ilvl w:val="0"/>
          <w:numId w:val="1009"/>
        </w:numPr>
      </w:pPr>
      <w:r>
        <w:t xml:space="preserve">INR integration</w:t>
      </w:r>
    </w:p>
    <w:p>
      <w:pPr>
        <w:pStyle w:val="Compact"/>
        <w:numPr>
          <w:ilvl w:val="0"/>
          <w:numId w:val="1009"/>
        </w:numPr>
      </w:pPr>
      <w:r>
        <w:t xml:space="preserve">Identity-aware segmentation</w:t>
      </w:r>
    </w:p>
    <w:bookmarkEnd w:id="33"/>
    <w:bookmarkStart w:id="34" w:name="addressing-control-plane"/>
    <w:p>
      <w:pPr>
        <w:pStyle w:val="Heading4"/>
      </w:pPr>
      <w:r>
        <w:t xml:space="preserve">1.6.4.3 Addressing Control Plane</w:t>
      </w:r>
    </w:p>
    <w:p>
      <w:pPr>
        <w:pStyle w:val="Compact"/>
        <w:numPr>
          <w:ilvl w:val="0"/>
          <w:numId w:val="1010"/>
        </w:numPr>
      </w:pPr>
      <w:r>
        <w:t xml:space="preserve">InfoBlox IPAM</w:t>
      </w:r>
    </w:p>
    <w:p>
      <w:pPr>
        <w:pStyle w:val="Compact"/>
        <w:numPr>
          <w:ilvl w:val="0"/>
          <w:numId w:val="1010"/>
        </w:numPr>
      </w:pPr>
      <w:r>
        <w:t xml:space="preserve">DNS/DHCP modernization</w:t>
      </w:r>
    </w:p>
    <w:p>
      <w:pPr>
        <w:pStyle w:val="Compact"/>
        <w:numPr>
          <w:ilvl w:val="0"/>
          <w:numId w:val="1010"/>
        </w:numPr>
      </w:pPr>
      <w:r>
        <w:t xml:space="preserve">Cloud IPAM reconciliation</w:t>
      </w:r>
    </w:p>
    <w:bookmarkEnd w:id="34"/>
    <w:bookmarkStart w:id="35" w:name="telemetry-and-location-control-plane"/>
    <w:p>
      <w:pPr>
        <w:pStyle w:val="Heading4"/>
      </w:pPr>
      <w:r>
        <w:t xml:space="preserve">1.6.4.4 Telemetry and Location Control Plane</w:t>
      </w:r>
    </w:p>
    <w:p>
      <w:pPr>
        <w:pStyle w:val="Compact"/>
        <w:numPr>
          <w:ilvl w:val="0"/>
          <w:numId w:val="1011"/>
        </w:numPr>
      </w:pPr>
      <w:r>
        <w:t xml:space="preserve">M365 Network Telemetry</w:t>
      </w:r>
    </w:p>
    <w:p>
      <w:pPr>
        <w:pStyle w:val="Compact"/>
        <w:numPr>
          <w:ilvl w:val="0"/>
          <w:numId w:val="1011"/>
        </w:numPr>
      </w:pPr>
      <w:r>
        <w:t xml:space="preserve">SD-WAN telemetry</w:t>
      </w:r>
    </w:p>
    <w:p>
      <w:pPr>
        <w:pStyle w:val="Compact"/>
        <w:numPr>
          <w:ilvl w:val="0"/>
          <w:numId w:val="1011"/>
        </w:numPr>
      </w:pPr>
      <w:r>
        <w:t xml:space="preserve">Endpoint telemetry (Defender/Intune)</w:t>
      </w:r>
    </w:p>
    <w:p>
      <w:pPr>
        <w:pStyle w:val="Compact"/>
        <w:numPr>
          <w:ilvl w:val="0"/>
          <w:numId w:val="1011"/>
        </w:numPr>
      </w:pPr>
      <w:r>
        <w:t xml:space="preserve">DNS telemetry</w:t>
      </w:r>
    </w:p>
    <w:p>
      <w:pPr>
        <w:pStyle w:val="Compact"/>
        <w:numPr>
          <w:ilvl w:val="0"/>
          <w:numId w:val="1011"/>
        </w:numPr>
      </w:pPr>
      <w:r>
        <w:t xml:space="preserve">CDM/CLAW reporting</w:t>
      </w:r>
    </w:p>
    <w:p>
      <w:pPr>
        <w:pStyle w:val="Compact"/>
        <w:numPr>
          <w:ilvl w:val="0"/>
          <w:numId w:val="1011"/>
        </w:numPr>
      </w:pPr>
      <w:r>
        <w:t xml:space="preserve">SIEM ingestion</w:t>
      </w:r>
    </w:p>
    <w:bookmarkEnd w:id="35"/>
    <w:bookmarkStart w:id="36" w:name="security-and-compliance-plane"/>
    <w:p>
      <w:pPr>
        <w:pStyle w:val="Heading4"/>
      </w:pPr>
      <w:r>
        <w:t xml:space="preserve">1.6.4.5 Security and Compliance Plane</w:t>
      </w:r>
    </w:p>
    <w:p>
      <w:pPr>
        <w:pStyle w:val="Compact"/>
        <w:numPr>
          <w:ilvl w:val="0"/>
          <w:numId w:val="1012"/>
        </w:numPr>
      </w:pPr>
      <w:r>
        <w:t xml:space="preserve">TIC 3.0 Cloud + Branch</w:t>
      </w:r>
    </w:p>
    <w:p>
      <w:pPr>
        <w:pStyle w:val="Compact"/>
        <w:numPr>
          <w:ilvl w:val="0"/>
          <w:numId w:val="1012"/>
        </w:numPr>
      </w:pPr>
      <w:r>
        <w:t xml:space="preserve">Zero Trust</w:t>
      </w:r>
    </w:p>
    <w:p>
      <w:pPr>
        <w:pStyle w:val="Compact"/>
        <w:numPr>
          <w:ilvl w:val="0"/>
          <w:numId w:val="1012"/>
        </w:numPr>
      </w:pPr>
      <w:r>
        <w:t xml:space="preserve">FedRAMP alignment</w:t>
      </w:r>
    </w:p>
    <w:p>
      <w:pPr>
        <w:pStyle w:val="Compact"/>
        <w:numPr>
          <w:ilvl w:val="0"/>
          <w:numId w:val="1012"/>
        </w:numPr>
      </w:pPr>
      <w:r>
        <w:t xml:space="preserve">NIST 800-63</w:t>
      </w:r>
    </w:p>
    <w:p>
      <w:pPr>
        <w:pStyle w:val="Compact"/>
        <w:numPr>
          <w:ilvl w:val="0"/>
          <w:numId w:val="1012"/>
        </w:numPr>
      </w:pPr>
      <w:r>
        <w:t xml:space="preserve">ICAM governance</w:t>
      </w:r>
    </w:p>
    <w:bookmarkEnd w:id="36"/>
    <w:bookmarkStart w:id="37" w:name="management-plane"/>
    <w:p>
      <w:pPr>
        <w:pStyle w:val="Heading4"/>
      </w:pPr>
      <w:r>
        <w:t xml:space="preserve">1.6.4.6 Management Plane</w:t>
      </w:r>
    </w:p>
    <w:p>
      <w:pPr>
        <w:pStyle w:val="Compact"/>
        <w:numPr>
          <w:ilvl w:val="0"/>
          <w:numId w:val="1013"/>
        </w:numPr>
      </w:pPr>
      <w:r>
        <w:t xml:space="preserve">ServiceNow (CMDB, change, drift detection)</w:t>
      </w:r>
    </w:p>
    <w:p>
      <w:pPr>
        <w:pStyle w:val="Compact"/>
        <w:numPr>
          <w:ilvl w:val="0"/>
          <w:numId w:val="1013"/>
        </w:numPr>
      </w:pPr>
      <w:r>
        <w:t xml:space="preserve">Intune (device trust, compliance, configuration)</w:t>
      </w:r>
    </w:p>
    <w:bookmarkEnd w:id="37"/>
    <w:bookmarkEnd w:id="38"/>
    <w:bookmarkStart w:id="39" w:name="slide-5-frozen-state-analysis"/>
    <w:p>
      <w:pPr>
        <w:pStyle w:val="Heading3"/>
      </w:pPr>
      <w:r>
        <w:t xml:space="preserve">1.6.5 Slide 5 — Frozen State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Current State</w:t>
            </w:r>
          </w:p>
        </w:tc>
        <w:tc>
          <w:tcPr/>
          <w:p>
            <w:pPr>
              <w:pStyle w:val="Compact"/>
            </w:pPr>
            <w:r>
              <w:t xml:space="preserve">Gap</w:t>
            </w:r>
          </w:p>
        </w:tc>
      </w:tr>
      <w:tr>
        <w:tc>
          <w:tcPr/>
          <w:p>
            <w:pPr>
              <w:pStyle w:val="Compact"/>
            </w:pPr>
            <w:r>
              <w:t xml:space="preserve">Identity</w:t>
            </w:r>
          </w:p>
        </w:tc>
        <w:tc>
          <w:tcPr/>
          <w:p>
            <w:pPr>
              <w:pStyle w:val="Compact"/>
            </w:pPr>
            <w:r>
              <w:t xml:space="preserve">On-prem AD, siloed</w:t>
            </w:r>
          </w:p>
        </w:tc>
        <w:tc>
          <w:tcPr/>
          <w:p>
            <w:pPr>
              <w:pStyle w:val="Compact"/>
            </w:pPr>
            <w:r>
              <w:t xml:space="preserve">No unified identity graph</w:t>
            </w:r>
          </w:p>
        </w:tc>
      </w:tr>
      <w:tr>
        <w:tc>
          <w:tcPr/>
          <w:p>
            <w:pPr>
              <w:pStyle w:val="Compact"/>
            </w:pPr>
            <w:r>
              <w:t xml:space="preserve">Addressing</w:t>
            </w:r>
          </w:p>
        </w:tc>
        <w:tc>
          <w:tcPr/>
          <w:p>
            <w:pPr>
              <w:pStyle w:val="Compact"/>
            </w:pPr>
            <w:r>
              <w:t xml:space="preserve">Static spreadsheets</w:t>
            </w:r>
          </w:p>
        </w:tc>
        <w:tc>
          <w:tcPr/>
          <w:p>
            <w:pPr>
              <w:pStyle w:val="Compact"/>
            </w:pPr>
            <w:r>
              <w:t xml:space="preserve">No identity-to-address binding</w:t>
            </w:r>
          </w:p>
        </w:tc>
      </w:tr>
      <w:tr>
        <w:tc>
          <w:tcPr/>
          <w:p>
            <w:pPr>
              <w:pStyle w:val="Compact"/>
            </w:pPr>
            <w:r>
              <w:t xml:space="preserve">Network Security</w:t>
            </w:r>
          </w:p>
        </w:tc>
        <w:tc>
          <w:tcPr/>
          <w:p>
            <w:pPr>
              <w:pStyle w:val="Compact"/>
            </w:pPr>
            <w:r>
              <w:t xml:space="preserve">L3/L4 firewalls</w:t>
            </w:r>
          </w:p>
        </w:tc>
        <w:tc>
          <w:tcPr/>
          <w:p>
            <w:pPr>
              <w:pStyle w:val="Compact"/>
            </w:pPr>
            <w:r>
              <w:t xml:space="preserve">No identity-aware segmentation</w:t>
            </w:r>
          </w:p>
        </w:tc>
      </w:tr>
      <w:tr>
        <w:tc>
          <w:tcPr/>
          <w:p>
            <w:pPr>
              <w:pStyle w:val="Compact"/>
            </w:pPr>
            <w:r>
              <w:t xml:space="preserve">Endpoint</w:t>
            </w:r>
          </w:p>
        </w:tc>
        <w:tc>
          <w:tcPr/>
          <w:p>
            <w:pPr>
              <w:pStyle w:val="Compact"/>
            </w:pPr>
            <w:r>
              <w:t xml:space="preserve">Mixed tooling</w:t>
            </w:r>
          </w:p>
        </w:tc>
        <w:tc>
          <w:tcPr/>
          <w:p>
            <w:pPr>
              <w:pStyle w:val="Compact"/>
            </w:pPr>
            <w:r>
              <w:t xml:space="preserve">No unified posture signal</w:t>
            </w:r>
          </w:p>
        </w:tc>
      </w:tr>
      <w:tr>
        <w:tc>
          <w:tcPr/>
          <w:p>
            <w:pPr>
              <w:pStyle w:val="Compact"/>
            </w:pPr>
            <w:r>
              <w:t xml:space="preserve">App Delivery</w:t>
            </w:r>
          </w:p>
        </w:tc>
        <w:tc>
          <w:tcPr/>
          <w:p>
            <w:pPr>
              <w:pStyle w:val="Compact"/>
            </w:pPr>
            <w:r>
              <w:t xml:space="preserve">Local auth</w:t>
            </w:r>
          </w:p>
        </w:tc>
        <w:tc>
          <w:tcPr/>
          <w:p>
            <w:pPr>
              <w:pStyle w:val="Compact"/>
            </w:pPr>
            <w:r>
              <w:t xml:space="preserve">No workload identity</w:t>
            </w:r>
          </w:p>
        </w:tc>
      </w:tr>
      <w:tr>
        <w:tc>
          <w:tcPr/>
          <w:p>
            <w:pPr>
              <w:pStyle w:val="Compact"/>
            </w:pPr>
            <w:r>
              <w:t xml:space="preserve">Telemetry</w:t>
            </w:r>
          </w:p>
        </w:tc>
        <w:tc>
          <w:tcPr/>
          <w:p>
            <w:pPr>
              <w:pStyle w:val="Compact"/>
            </w:pPr>
            <w:r>
              <w:t xml:space="preserve">Siloed logs</w:t>
            </w:r>
          </w:p>
        </w:tc>
        <w:tc>
          <w:tcPr/>
          <w:p>
            <w:pPr>
              <w:pStyle w:val="Compact"/>
            </w:pPr>
            <w:r>
              <w:t xml:space="preserve">No conversation-level correlation</w:t>
            </w:r>
          </w:p>
        </w:tc>
      </w:tr>
      <w:tr>
        <w:tc>
          <w:tcPr/>
          <w:p>
            <w:pPr>
              <w:pStyle w:val="Compact"/>
            </w:pPr>
            <w:r>
              <w:t xml:space="preserve">Governance</w:t>
            </w:r>
          </w:p>
        </w:tc>
        <w:tc>
          <w:tcPr/>
          <w:p>
            <w:pPr>
              <w:pStyle w:val="Compact"/>
            </w:pPr>
            <w:r>
              <w:t xml:space="preserve">Email/tickets</w:t>
            </w:r>
          </w:p>
        </w:tc>
        <w:tc>
          <w:tcPr/>
          <w:p>
            <w:pPr>
              <w:pStyle w:val="Compact"/>
            </w:pPr>
            <w:r>
              <w:t xml:space="preserve">No automated enforcement</w:t>
            </w:r>
          </w:p>
        </w:tc>
      </w:tr>
      <w:tr>
        <w:tc>
          <w:tcPr/>
          <w:p>
            <w:pPr>
              <w:pStyle w:val="Compact"/>
            </w:pPr>
            <w:r>
              <w:t xml:space="preserve">Data Protection</w:t>
            </w:r>
          </w:p>
        </w:tc>
        <w:tc>
          <w:tcPr/>
          <w:p>
            <w:pPr>
              <w:pStyle w:val="Compact"/>
            </w:pPr>
            <w:r>
              <w:t xml:space="preserve">Manual classification</w:t>
            </w:r>
          </w:p>
        </w:tc>
        <w:tc>
          <w:tcPr/>
          <w:p>
            <w:pPr>
              <w:pStyle w:val="Compact"/>
            </w:pPr>
            <w:r>
              <w:t xml:space="preserve">No data-aware routing</w:t>
            </w:r>
          </w:p>
        </w:tc>
      </w:tr>
    </w:tbl>
    <w:bookmarkEnd w:id="39"/>
    <w:bookmarkStart w:id="40" w:name="slide-6-program-outcomes"/>
    <w:p>
      <w:pPr>
        <w:pStyle w:val="Heading3"/>
      </w:pPr>
      <w:r>
        <w:t xml:space="preserve">1.6.6 Slide 6 — Program Outcomes</w:t>
      </w:r>
    </w:p>
    <w:p>
      <w:pPr>
        <w:pStyle w:val="Compact"/>
        <w:numPr>
          <w:ilvl w:val="0"/>
          <w:numId w:val="1014"/>
        </w:numPr>
      </w:pPr>
      <w:r>
        <w:t xml:space="preserve">Reduced latency and improved M365 performance</w:t>
      </w:r>
    </w:p>
    <w:p>
      <w:pPr>
        <w:pStyle w:val="Compact"/>
        <w:numPr>
          <w:ilvl w:val="0"/>
          <w:numId w:val="1014"/>
        </w:numPr>
      </w:pPr>
      <w:r>
        <w:t xml:space="preserve">Stronger identity governance and compliance</w:t>
      </w:r>
    </w:p>
    <w:p>
      <w:pPr>
        <w:pStyle w:val="Compact"/>
        <w:numPr>
          <w:ilvl w:val="0"/>
          <w:numId w:val="1014"/>
        </w:numPr>
      </w:pPr>
      <w:r>
        <w:t xml:space="preserve">Accurate addressing and location inference</w:t>
      </w:r>
    </w:p>
    <w:p>
      <w:pPr>
        <w:pStyle w:val="Compact"/>
        <w:numPr>
          <w:ilvl w:val="0"/>
          <w:numId w:val="1014"/>
        </w:numPr>
      </w:pPr>
      <w:r>
        <w:t xml:space="preserve">Real-time telemetry for routing and security</w:t>
      </w:r>
    </w:p>
    <w:p>
      <w:pPr>
        <w:pStyle w:val="Compact"/>
        <w:numPr>
          <w:ilvl w:val="0"/>
          <w:numId w:val="1014"/>
        </w:numPr>
      </w:pPr>
      <w:r>
        <w:t xml:space="preserve">TIC 3.0 compliance across cloud and branch</w:t>
      </w:r>
    </w:p>
    <w:p>
      <w:pPr>
        <w:pStyle w:val="Compact"/>
        <w:numPr>
          <w:ilvl w:val="0"/>
          <w:numId w:val="1014"/>
        </w:numPr>
      </w:pPr>
      <w:r>
        <w:t xml:space="preserve">A drop-in overlay delivering cross-service telemetry and identity correlation where native platforms cannot</w:t>
      </w:r>
    </w:p>
    <w:p>
      <w:r>
        <w:pict>
          <v:rect style="width:0;height:1.5pt" o:hralign="center" o:hrstd="t" o:hr="t"/>
        </w:pict>
      </w:r>
    </w:p>
    <w:bookmarkEnd w:id="40"/>
    <w:bookmarkEnd w:id="41"/>
    <w:bookmarkStart w:id="45" w:name="runtime-model"/>
    <w:p>
      <w:pPr>
        <w:pStyle w:val="Heading2"/>
      </w:pPr>
      <w:r>
        <w:t xml:space="preserve">1.7 7. Runtime Model</w:t>
      </w:r>
    </w:p>
    <w:bookmarkStart w:id="42" w:name="conversation-flow"/>
    <w:p>
      <w:pPr>
        <w:pStyle w:val="Heading3"/>
      </w:pPr>
      <w:r>
        <w:t xml:space="preserve">1.7.1 Conversation Flow</w:t>
      </w:r>
    </w:p>
    <w:p>
      <w:pPr>
        <w:pStyle w:val="Compact"/>
        <w:numPr>
          <w:ilvl w:val="0"/>
          <w:numId w:val="1015"/>
        </w:numPr>
      </w:pPr>
      <w:r>
        <w:t xml:space="preserve">Identity initiates</w:t>
      </w:r>
    </w:p>
    <w:p>
      <w:pPr>
        <w:pStyle w:val="Compact"/>
        <w:numPr>
          <w:ilvl w:val="0"/>
          <w:numId w:val="1015"/>
        </w:numPr>
      </w:pPr>
      <w:r>
        <w:t xml:space="preserve">Addressing binds</w:t>
      </w:r>
    </w:p>
    <w:p>
      <w:pPr>
        <w:pStyle w:val="Compact"/>
        <w:numPr>
          <w:ilvl w:val="0"/>
          <w:numId w:val="1015"/>
        </w:numPr>
      </w:pPr>
      <w:r>
        <w:t xml:space="preserve">Certificates authenticate</w:t>
      </w:r>
    </w:p>
    <w:p>
      <w:pPr>
        <w:pStyle w:val="Compact"/>
        <w:numPr>
          <w:ilvl w:val="0"/>
          <w:numId w:val="1015"/>
        </w:numPr>
      </w:pPr>
      <w:r>
        <w:t xml:space="preserve">Overlay establishes path</w:t>
      </w:r>
    </w:p>
    <w:p>
      <w:pPr>
        <w:pStyle w:val="Compact"/>
        <w:numPr>
          <w:ilvl w:val="0"/>
          <w:numId w:val="1015"/>
        </w:numPr>
      </w:pPr>
      <w:r>
        <w:t xml:space="preserve">Telemetry validates</w:t>
      </w:r>
    </w:p>
    <w:p>
      <w:pPr>
        <w:pStyle w:val="Compact"/>
        <w:numPr>
          <w:ilvl w:val="0"/>
          <w:numId w:val="1015"/>
        </w:numPr>
      </w:pPr>
      <w:r>
        <w:t xml:space="preserve">Policy evaluates continuously</w:t>
      </w:r>
    </w:p>
    <w:bookmarkEnd w:id="42"/>
    <w:bookmarkStart w:id="43" w:name="determinism"/>
    <w:p>
      <w:pPr>
        <w:pStyle w:val="Heading3"/>
      </w:pPr>
      <w:r>
        <w:t xml:space="preserve">1.7.2 Determinism</w:t>
      </w:r>
    </w:p>
    <w:p>
      <w:pPr>
        <w:pStyle w:val="FirstParagraph"/>
      </w:pPr>
      <w:r>
        <w:t xml:space="preserve">Given identical identity, boundary, telemetry, and assurance inputs, the system produces identical decisions across clouds and agencies.</w:t>
      </w:r>
    </w:p>
    <w:bookmarkEnd w:id="43"/>
    <w:bookmarkStart w:id="44" w:name="continuous-evaluation"/>
    <w:p>
      <w:pPr>
        <w:pStyle w:val="Heading3"/>
      </w:pPr>
      <w:r>
        <w:t xml:space="preserve">1.7.3 Continuous Evaluation</w:t>
      </w:r>
    </w:p>
    <w:p>
      <w:pPr>
        <w:pStyle w:val="FirstParagraph"/>
      </w:pPr>
      <w:r>
        <w:t xml:space="preserve">Telemetry continuously informs routing, access, segmentation, and compliance posture.</w:t>
      </w:r>
    </w:p>
    <w:p>
      <w:r>
        <w:pict>
          <v:rect style="width:0;height:1.5pt" o:hralign="center" o:hrstd="t" o:hr="t"/>
        </w:pict>
      </w:r>
    </w:p>
    <w:bookmarkEnd w:id="44"/>
    <w:bookmarkEnd w:id="45"/>
    <w:bookmarkStart w:id="49" w:name="compliance-mapping"/>
    <w:p>
      <w:pPr>
        <w:pStyle w:val="Heading2"/>
      </w:pPr>
      <w:r>
        <w:t xml:space="preserve">1.8 8. Compliance Mapping</w:t>
      </w:r>
    </w:p>
    <w:bookmarkStart w:id="46" w:name="fedramp-20x"/>
    <w:p>
      <w:pPr>
        <w:pStyle w:val="Heading3"/>
      </w:pPr>
      <w:r>
        <w:t xml:space="preserve">1.8.1 FedRAMP 20x</w:t>
      </w:r>
    </w:p>
    <w:p>
      <w:pPr>
        <w:pStyle w:val="Compact"/>
        <w:numPr>
          <w:ilvl w:val="0"/>
          <w:numId w:val="1016"/>
        </w:numPr>
      </w:pPr>
      <w:r>
        <w:t xml:space="preserve">Class C (Moderate)</w:t>
      </w:r>
    </w:p>
    <w:p>
      <w:pPr>
        <w:pStyle w:val="Compact"/>
        <w:numPr>
          <w:ilvl w:val="0"/>
          <w:numId w:val="1016"/>
        </w:numPr>
      </w:pPr>
      <w:r>
        <w:t xml:space="preserve">Telemetry-based validation</w:t>
      </w:r>
    </w:p>
    <w:p>
      <w:pPr>
        <w:pStyle w:val="Compact"/>
        <w:numPr>
          <w:ilvl w:val="0"/>
          <w:numId w:val="1016"/>
        </w:numPr>
      </w:pPr>
      <w:r>
        <w:t xml:space="preserve">OSCAL machine-readability</w:t>
      </w:r>
    </w:p>
    <w:p>
      <w:pPr>
        <w:pStyle w:val="Compact"/>
        <w:numPr>
          <w:ilvl w:val="0"/>
          <w:numId w:val="1016"/>
        </w:numPr>
      </w:pPr>
      <w:r>
        <w:t xml:space="preserve">Automated evidence generation</w:t>
      </w:r>
    </w:p>
    <w:bookmarkEnd w:id="46"/>
    <w:bookmarkStart w:id="47" w:name="tic-3.0"/>
    <w:p>
      <w:pPr>
        <w:pStyle w:val="Heading3"/>
      </w:pPr>
      <w:r>
        <w:t xml:space="preserve">1.8.2 TIC 3.0</w:t>
      </w:r>
    </w:p>
    <w:p>
      <w:pPr>
        <w:pStyle w:val="Compact"/>
        <w:numPr>
          <w:ilvl w:val="0"/>
          <w:numId w:val="1017"/>
        </w:numPr>
      </w:pPr>
      <w:r>
        <w:t xml:space="preserve">Cloud Use Case</w:t>
      </w:r>
    </w:p>
    <w:p>
      <w:pPr>
        <w:pStyle w:val="Compact"/>
        <w:numPr>
          <w:ilvl w:val="0"/>
          <w:numId w:val="1017"/>
        </w:numPr>
      </w:pPr>
      <w:r>
        <w:t xml:space="preserve">Branch Use Case</w:t>
      </w:r>
    </w:p>
    <w:p>
      <w:pPr>
        <w:pStyle w:val="Compact"/>
        <w:numPr>
          <w:ilvl w:val="0"/>
          <w:numId w:val="1017"/>
        </w:numPr>
      </w:pPr>
      <w:r>
        <w:t xml:space="preserve">Identity-centric segmentation</w:t>
      </w:r>
    </w:p>
    <w:bookmarkEnd w:id="47"/>
    <w:bookmarkStart w:id="48" w:name="nist-800-63"/>
    <w:p>
      <w:pPr>
        <w:pStyle w:val="Heading3"/>
      </w:pPr>
      <w:r>
        <w:t xml:space="preserve">1.8.3 NIST 800-63</w:t>
      </w:r>
    </w:p>
    <w:p>
      <w:pPr>
        <w:pStyle w:val="Compact"/>
        <w:numPr>
          <w:ilvl w:val="0"/>
          <w:numId w:val="1018"/>
        </w:numPr>
      </w:pPr>
      <w:r>
        <w:t xml:space="preserve">Identity assurance</w:t>
      </w:r>
    </w:p>
    <w:p>
      <w:pPr>
        <w:pStyle w:val="Compact"/>
        <w:numPr>
          <w:ilvl w:val="0"/>
          <w:numId w:val="1018"/>
        </w:numPr>
      </w:pPr>
      <w:r>
        <w:t xml:space="preserve">Authentication modernization</w:t>
      </w:r>
    </w:p>
    <w:p>
      <w:pPr>
        <w:pStyle w:val="Compact"/>
        <w:numPr>
          <w:ilvl w:val="0"/>
          <w:numId w:val="1018"/>
        </w:numPr>
      </w:pPr>
      <w:r>
        <w:t xml:space="preserve">ICAM governance</w:t>
      </w:r>
    </w:p>
    <w:p>
      <w:r>
        <w:pict>
          <v:rect style="width:0;height:1.5pt" o:hralign="center" o:hrstd="t" o:hr="t"/>
        </w:pict>
      </w:r>
    </w:p>
    <w:bookmarkEnd w:id="48"/>
    <w:bookmarkEnd w:id="49"/>
    <w:bookmarkStart w:id="53" w:name="dependencies-and-sequencing"/>
    <w:p>
      <w:pPr>
        <w:pStyle w:val="Heading2"/>
      </w:pPr>
      <w:r>
        <w:t xml:space="preserve">1.9 9. Dependencies and Sequencing</w:t>
      </w:r>
    </w:p>
    <w:bookmarkStart w:id="50" w:name="upstream-dependencies"/>
    <w:p>
      <w:pPr>
        <w:pStyle w:val="Heading3"/>
      </w:pPr>
      <w:r>
        <w:t xml:space="preserve">1.9.1 Upstream Dependencies</w:t>
      </w:r>
    </w:p>
    <w:p>
      <w:pPr>
        <w:pStyle w:val="Compact"/>
        <w:numPr>
          <w:ilvl w:val="0"/>
          <w:numId w:val="1019"/>
        </w:numPr>
      </w:pPr>
      <w:r>
        <w:rPr>
          <w:rStyle w:val="VerbatimChar"/>
        </w:rPr>
        <w:t xml:space="preserve">00_ControlPlaneArchitecture.md</w:t>
      </w:r>
      <w:r>
        <w:t xml:space="preserve"> </w:t>
      </w:r>
      <w:r>
        <w:t xml:space="preserve">— defines the six planes referenced throughout</w:t>
      </w:r>
    </w:p>
    <w:p>
      <w:pPr>
        <w:pStyle w:val="Compact"/>
        <w:numPr>
          <w:ilvl w:val="0"/>
          <w:numId w:val="1019"/>
        </w:numPr>
      </w:pPr>
      <w:r>
        <w:rPr>
          <w:rStyle w:val="VerbatimChar"/>
        </w:rPr>
        <w:t xml:space="preserve">01_UnifiedArchitecture.md</w:t>
      </w:r>
      <w:r>
        <w:t xml:space="preserve"> </w:t>
      </w:r>
      <w:r>
        <w:t xml:space="preserve">— provides the unified architecture model</w:t>
      </w:r>
    </w:p>
    <w:p>
      <w:pPr>
        <w:pStyle w:val="Compact"/>
        <w:numPr>
          <w:ilvl w:val="0"/>
          <w:numId w:val="1019"/>
        </w:numPr>
      </w:pPr>
      <w:r>
        <w:rPr>
          <w:rStyle w:val="VerbatimChar"/>
        </w:rPr>
        <w:t xml:space="preserve">06_ProgramVision.md</w:t>
      </w:r>
      <w:r>
        <w:t xml:space="preserve"> </w:t>
      </w:r>
      <w:r>
        <w:t xml:space="preserve">— establishes strategic intent and guiding principles</w:t>
      </w:r>
    </w:p>
    <w:bookmarkEnd w:id="50"/>
    <w:bookmarkStart w:id="51" w:name="downstream-dependencies"/>
    <w:p>
      <w:pPr>
        <w:pStyle w:val="Heading3"/>
      </w:pPr>
      <w:r>
        <w:t xml:space="preserve">1.9.2 Downstream Dependencies</w:t>
      </w:r>
    </w:p>
    <w:p>
      <w:pPr>
        <w:pStyle w:val="Compact"/>
        <w:numPr>
          <w:ilvl w:val="0"/>
          <w:numId w:val="1020"/>
        </w:numPr>
      </w:pPr>
      <w:r>
        <w:rPr>
          <w:rStyle w:val="VerbatimChar"/>
        </w:rPr>
        <w:t xml:space="preserve">08_ModernizationTimeline.md</w:t>
      </w:r>
      <w:r>
        <w:t xml:space="preserve"> </w:t>
      </w:r>
      <w:r>
        <w:t xml:space="preserve">— expands the timeline summary in Slide 11</w:t>
      </w:r>
    </w:p>
    <w:p>
      <w:pPr>
        <w:pStyle w:val="Compact"/>
        <w:numPr>
          <w:ilvl w:val="0"/>
          <w:numId w:val="1020"/>
        </w:numPr>
      </w:pPr>
      <w:r>
        <w:rPr>
          <w:rStyle w:val="VerbatimChar"/>
        </w:rPr>
        <w:t xml:space="preserve">09_CrosswalkIndex.md</w:t>
      </w:r>
      <w:r>
        <w:t xml:space="preserve"> </w:t>
      </w:r>
      <w:r>
        <w:t xml:space="preserve">— indexes control mappings referenced in compliance alignment</w:t>
      </w:r>
    </w:p>
    <w:bookmarkEnd w:id="51"/>
    <w:bookmarkStart w:id="52" w:name="modernization-timeline-summary"/>
    <w:p>
      <w:pPr>
        <w:pStyle w:val="Heading3"/>
      </w:pPr>
      <w:r>
        <w:t xml:space="preserve">1.9.3 Modernization Timeline (Summary)</w:t>
      </w:r>
    </w:p>
    <w:p>
      <w:pPr>
        <w:pStyle w:val="FirstParagraph"/>
      </w:pPr>
      <w:r>
        <w:t xml:space="preserve">Aligned to Workstreams 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Milestone</w:t>
            </w:r>
          </w:p>
        </w:tc>
      </w:tr>
      <w:tr>
        <w:tc>
          <w:tcPr/>
          <w:p>
            <w:pPr>
              <w:pStyle w:val="Compact"/>
            </w:pPr>
            <w:r>
              <w:t xml:space="preserve">Month 1</w:t>
            </w:r>
          </w:p>
        </w:tc>
        <w:tc>
          <w:tcPr/>
          <w:p>
            <w:pPr>
              <w:pStyle w:val="Compact"/>
            </w:pPr>
            <w:r>
              <w:t xml:space="preserve">Identity, SD-WAN, IPAM, Telemetry HLDs</w:t>
            </w:r>
          </w:p>
        </w:tc>
      </w:tr>
      <w:tr>
        <w:tc>
          <w:tcPr/>
          <w:p>
            <w:pPr>
              <w:pStyle w:val="Compact"/>
            </w:pPr>
            <w:r>
              <w:t xml:space="preserve">Month 2</w:t>
            </w:r>
          </w:p>
        </w:tc>
        <w:tc>
          <w:tcPr/>
          <w:p>
            <w:pPr>
              <w:pStyle w:val="Compact"/>
            </w:pPr>
            <w:r>
              <w:t xml:space="preserve">Conditional Access, LLDs, DNS/DHCP, Location Services</w:t>
            </w:r>
          </w:p>
        </w:tc>
      </w:tr>
      <w:tr>
        <w:tc>
          <w:tcPr/>
          <w:p>
            <w:pPr>
              <w:pStyle w:val="Compact"/>
            </w:pPr>
            <w:r>
              <w:t xml:space="preserve">Month 3</w:t>
            </w:r>
          </w:p>
        </w:tc>
        <w:tc>
          <w:tcPr/>
          <w:p>
            <w:pPr>
              <w:pStyle w:val="Compact"/>
            </w:pPr>
            <w:r>
              <w:t xml:space="preserve">MFA/SSPR, DIA pilots, Cloud IPAM, E911</w:t>
            </w:r>
          </w:p>
        </w:tc>
      </w:tr>
      <w:tr>
        <w:tc>
          <w:tcPr/>
          <w:p>
            <w:pPr>
              <w:pStyle w:val="Compact"/>
            </w:pPr>
            <w:r>
              <w:t xml:space="preserve">Month 4</w:t>
            </w:r>
          </w:p>
        </w:tc>
        <w:tc>
          <w:tcPr/>
          <w:p>
            <w:pPr>
              <w:pStyle w:val="Compact"/>
            </w:pPr>
            <w:r>
              <w:t xml:space="preserve">Segmentation, Telemetry export, IPAM integrations</w:t>
            </w:r>
          </w:p>
        </w:tc>
      </w:tr>
      <w:tr>
        <w:tc>
          <w:tcPr/>
          <w:p>
            <w:pPr>
              <w:pStyle w:val="Compact"/>
            </w:pPr>
            <w:r>
              <w:t xml:space="preserve">Month 5</w:t>
            </w:r>
          </w:p>
        </w:tc>
        <w:tc>
          <w:tcPr/>
          <w:p>
            <w:pPr>
              <w:pStyle w:val="Compact"/>
            </w:pPr>
            <w:r>
              <w:t xml:space="preserve">ICAM governance, Identity-aware routing, TIC 3.0 Cloud</w:t>
            </w:r>
          </w:p>
        </w:tc>
      </w:tr>
      <w:tr>
        <w:tc>
          <w:tcPr/>
          <w:p>
            <w:pPr>
              <w:pStyle w:val="Compact"/>
            </w:pPr>
            <w:r>
              <w:t xml:space="preserve">Month 6</w:t>
            </w:r>
          </w:p>
        </w:tc>
        <w:tc>
          <w:tcPr/>
          <w:p>
            <w:pPr>
              <w:pStyle w:val="Compact"/>
            </w:pPr>
            <w:r>
              <w:t xml:space="preserve">INR readiness, IPAM automation, TIC 3.0 Branch, CDM/CLAW</w:t>
            </w:r>
          </w:p>
        </w:tc>
      </w:tr>
    </w:tbl>
    <w:p>
      <w:r>
        <w:pict>
          <v:rect style="width:0;height:1.5pt" o:hralign="center" o:hrstd="t" o:hr="t"/>
        </w:pict>
      </w:r>
    </w:p>
    <w:bookmarkEnd w:id="52"/>
    <w:bookmarkEnd w:id="53"/>
    <w:bookmarkStart w:id="57" w:name="governance-and-drift-controls"/>
    <w:p>
      <w:pPr>
        <w:pStyle w:val="Heading2"/>
      </w:pPr>
      <w:r>
        <w:t xml:space="preserve">1.10 10. Governance and Drift Controls</w:t>
      </w:r>
    </w:p>
    <w:bookmarkStart w:id="54" w:name="source-of-authority"/>
    <w:p>
      <w:pPr>
        <w:pStyle w:val="Heading3"/>
      </w:pPr>
      <w:r>
        <w:t xml:space="preserve">1.10.1 Source of Authority</w:t>
      </w:r>
    </w:p>
    <w:p>
      <w:pPr>
        <w:pStyle w:val="Compact"/>
        <w:numPr>
          <w:ilvl w:val="0"/>
          <w:numId w:val="1021"/>
        </w:numPr>
      </w:pPr>
      <w:r>
        <w:t xml:space="preserve">HR — identity lifecycle</w:t>
      </w:r>
    </w:p>
    <w:p>
      <w:pPr>
        <w:pStyle w:val="Compact"/>
        <w:numPr>
          <w:ilvl w:val="0"/>
          <w:numId w:val="1021"/>
        </w:numPr>
      </w:pPr>
      <w:r>
        <w:t xml:space="preserve">Network architecture — addressing</w:t>
      </w:r>
    </w:p>
    <w:p>
      <w:pPr>
        <w:pStyle w:val="Compact"/>
        <w:numPr>
          <w:ilvl w:val="0"/>
          <w:numId w:val="1021"/>
        </w:numPr>
      </w:pPr>
      <w:r>
        <w:t xml:space="preserve">PKI — certificate trust</w:t>
      </w:r>
    </w:p>
    <w:p>
      <w:pPr>
        <w:pStyle w:val="Compact"/>
        <w:numPr>
          <w:ilvl w:val="0"/>
          <w:numId w:val="1021"/>
        </w:numPr>
      </w:pPr>
      <w:r>
        <w:t xml:space="preserve">System owners — configuration baselines</w:t>
      </w:r>
    </w:p>
    <w:bookmarkEnd w:id="54"/>
    <w:bookmarkStart w:id="55" w:name="drift-detection"/>
    <w:p>
      <w:pPr>
        <w:pStyle w:val="Heading3"/>
      </w:pPr>
      <w:r>
        <w:t xml:space="preserve">1.10.2 Drift Detection</w:t>
      </w:r>
    </w:p>
    <w:p>
      <w:pPr>
        <w:pStyle w:val="Compact"/>
        <w:numPr>
          <w:ilvl w:val="0"/>
          <w:numId w:val="1022"/>
        </w:numPr>
      </w:pPr>
      <w:r>
        <w:t xml:space="preserve">CMDB reconciliation</w:t>
      </w:r>
    </w:p>
    <w:p>
      <w:pPr>
        <w:pStyle w:val="Compact"/>
        <w:numPr>
          <w:ilvl w:val="0"/>
          <w:numId w:val="1022"/>
        </w:numPr>
      </w:pPr>
      <w:r>
        <w:t xml:space="preserve">Intune compliance</w:t>
      </w:r>
    </w:p>
    <w:p>
      <w:pPr>
        <w:pStyle w:val="Compact"/>
        <w:numPr>
          <w:ilvl w:val="0"/>
          <w:numId w:val="1022"/>
        </w:numPr>
      </w:pPr>
      <w:r>
        <w:t xml:space="preserve">SD-WAN overlay validation</w:t>
      </w:r>
    </w:p>
    <w:p>
      <w:pPr>
        <w:pStyle w:val="Compact"/>
        <w:numPr>
          <w:ilvl w:val="0"/>
          <w:numId w:val="1022"/>
        </w:numPr>
      </w:pPr>
      <w:r>
        <w:t xml:space="preserve">IPAM reconciliation</w:t>
      </w:r>
    </w:p>
    <w:bookmarkEnd w:id="55"/>
    <w:bookmarkStart w:id="56" w:name="remediation-workflow"/>
    <w:p>
      <w:pPr>
        <w:pStyle w:val="Heading3"/>
      </w:pPr>
      <w:r>
        <w:t xml:space="preserve">1.10.3 Remediation Workflow</w:t>
      </w:r>
    </w:p>
    <w:p>
      <w:pPr>
        <w:pStyle w:val="Compact"/>
        <w:numPr>
          <w:ilvl w:val="0"/>
          <w:numId w:val="1023"/>
        </w:numPr>
      </w:pPr>
      <w:r>
        <w:t xml:space="preserve">Automated ServiceNow change</w:t>
      </w:r>
    </w:p>
    <w:p>
      <w:pPr>
        <w:pStyle w:val="Compact"/>
        <w:numPr>
          <w:ilvl w:val="0"/>
          <w:numId w:val="1023"/>
        </w:numPr>
      </w:pPr>
      <w:r>
        <w:t xml:space="preserve">Conditional Access enforcement</w:t>
      </w:r>
    </w:p>
    <w:p>
      <w:pPr>
        <w:pStyle w:val="Compact"/>
        <w:numPr>
          <w:ilvl w:val="0"/>
          <w:numId w:val="1023"/>
        </w:numPr>
      </w:pPr>
      <w:r>
        <w:t xml:space="preserve">Certificate renewal</w:t>
      </w:r>
    </w:p>
    <w:p>
      <w:pPr>
        <w:pStyle w:val="Compact"/>
        <w:numPr>
          <w:ilvl w:val="0"/>
          <w:numId w:val="1023"/>
        </w:numPr>
      </w:pPr>
      <w:r>
        <w:t xml:space="preserve">IPAM correction</w:t>
      </w:r>
    </w:p>
    <w:p>
      <w:r>
        <w:pict>
          <v:rect style="width:0;height:1.5pt" o:hralign="center" o:hrstd="t" o:hr="t"/>
        </w:pict>
      </w:r>
    </w:p>
    <w:bookmarkEnd w:id="56"/>
    <w:bookmarkEnd w:id="57"/>
    <w:bookmarkStart w:id="62" w:name="appendices"/>
    <w:p>
      <w:pPr>
        <w:pStyle w:val="Heading2"/>
      </w:pPr>
      <w:r>
        <w:t xml:space="preserve">1.11 11. Appendices</w:t>
      </w:r>
    </w:p>
    <w:bookmarkStart w:id="58" w:name="appendix-a-definitions"/>
    <w:p>
      <w:pPr>
        <w:pStyle w:val="Heading3"/>
      </w:pPr>
      <w:r>
        <w:t xml:space="preserve">1.11.1 Appendix A: Definitions</w:t>
      </w:r>
    </w:p>
    <w:p>
      <w:pPr>
        <w:pStyle w:val="FirstParagraph"/>
      </w:pPr>
      <w:r>
        <w:rPr>
          <w:i/>
          <w:iCs/>
        </w:rPr>
        <w:t xml:space="preserve">See</w:t>
      </w:r>
      <w:r>
        <w:rPr>
          <w:i/>
          <w:iCs/>
        </w:rPr>
        <w:t xml:space="preserve"> </w:t>
      </w:r>
      <w:r>
        <w:rPr>
          <w:rStyle w:val="VerbatimChar"/>
          <w:i/>
          <w:iCs/>
        </w:rPr>
        <w:t xml:space="preserve">docs/glossary.md</w:t>
      </w:r>
    </w:p>
    <w:bookmarkEnd w:id="58"/>
    <w:bookmarkStart w:id="59" w:name="appendix-b-tables"/>
    <w:p>
      <w:pPr>
        <w:pStyle w:val="Heading3"/>
      </w:pPr>
      <w:r>
        <w:t xml:space="preserve">1.11.2 Appendix B: Tables</w:t>
      </w:r>
    </w:p>
    <w:p>
      <w:pPr>
        <w:pStyle w:val="FirstParagraph"/>
      </w:pPr>
      <w:r>
        <w:rPr>
          <w:i/>
          <w:iCs/>
        </w:rPr>
        <w:t xml:space="preserve">Control Plane Alignment table is in Section 4. Frozen State Analysis is in Section 6.5. Timeline is in Section 9.</w:t>
      </w:r>
    </w:p>
    <w:bookmarkEnd w:id="59"/>
    <w:bookmarkStart w:id="60" w:name="appendix-c-diagram-references"/>
    <w:p>
      <w:pPr>
        <w:pStyle w:val="Heading3"/>
      </w:pPr>
      <w:r>
        <w:t xml:space="preserve">1.11.3 Appendix C: Diagram References</w:t>
      </w:r>
    </w:p>
    <w:p>
      <w:pPr>
        <w:pStyle w:val="FirstParagraph"/>
      </w:pPr>
      <w:r>
        <w:rPr>
          <w:i/>
          <w:iCs/>
        </w:rPr>
        <w:t xml:space="preserve">See</w:t>
      </w:r>
      <w:r>
        <w:rPr>
          <w:i/>
          <w:iCs/>
        </w:rPr>
        <w:t xml:space="preserve"> </w:t>
      </w:r>
      <w:r>
        <w:rPr>
          <w:rStyle w:val="VerbatimChar"/>
          <w:i/>
          <w:iCs/>
        </w:rPr>
        <w:t xml:space="preserve">docs/images/</w:t>
      </w:r>
      <w:r>
        <w:rPr>
          <w:i/>
          <w:iCs/>
        </w:rPr>
        <w:t xml:space="preserve"> </w:t>
      </w:r>
      <w:r>
        <w:rPr>
          <w:i/>
          <w:iCs/>
        </w:rPr>
        <w:t xml:space="preserve">for all referenced architecture diagrams.</w:t>
      </w:r>
    </w:p>
    <w:bookmarkEnd w:id="60"/>
    <w:bookmarkStart w:id="61" w:name="appendix-d-evidence-sources"/>
    <w:p>
      <w:pPr>
        <w:pStyle w:val="Heading3"/>
      </w:pPr>
      <w:r>
        <w:t xml:space="preserve">1.11.4 Appendix D: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p>
      <w:r>
        <w:pict>
          <v:rect style="width:0;height:1.5pt" o:hralign="center" o:hrstd="t" o:hr="t"/>
        </w:pict>
      </w:r>
    </w:p>
    <w:bookmarkEnd w:id="61"/>
    <w:bookmarkEnd w:id="62"/>
    <w:bookmarkStart w:id="63" w:name="revision-history"/>
    <w:p>
      <w:pPr>
        <w:pStyle w:val="Heading2"/>
      </w:pPr>
      <w:r>
        <w:t xml:space="preserve">1.12 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bl>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Leadershipbriefing</dc:title>
  <dc:creator>UIAO Modernization Program</dc:creator>
  <dc:language>en</dc:language>
  <cp:keywords/>
  <dcterms:created xsi:type="dcterms:W3CDTF">2026-04-02T14:08:53Z</dcterms:created>
  <dcterms:modified xsi:type="dcterms:W3CDTF">2026-04-02T14:08:53Z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2,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