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modernization-atlas-unified-architecture"/>
    <w:p>
      <w:pPr>
        <w:pStyle w:val="Heading1"/>
      </w:pPr>
      <w:r>
        <w:t xml:space="preserve">Modernization Atlas: Unified Architecture</w:t>
      </w:r>
    </w:p>
    <w:p>
      <w:pPr>
        <w:pStyle w:val="FirstParagraph"/>
      </w:pPr>
      <w:r>
        <w:t xml:space="preserve">This document outlines the three-plane model driving the agency’s IT transformation. By decoupling Identity, Addressing, and the Overlay, we achieve a vendor-agnostic, programmable infrastructure.</w:t>
      </w:r>
    </w:p>
    <w:bookmarkStart w:id="20" w:name="architectural-convergence"/>
    <w:p>
      <w:pPr>
        <w:pStyle w:val="Heading2"/>
      </w:pPr>
      <w:r>
        <w:t xml:space="preserve">Architectural Convergence</w:t>
      </w:r>
    </w:p>
    <w:p>
      <w:pPr>
        <w:pStyle w:val="FirstParagraph"/>
      </w:pPr>
      <w:r>
        <w:t xml:space="preserve">The following diagram visualizes the intersection of user identity and network location.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subgraph "Identity Plane (The 'Who')"</w:t>
      </w:r>
      <w:r>
        <w:br/>
      </w:r>
      <w:r>
        <w:rPr>
          <w:rStyle w:val="VerbatimChar"/>
        </w:rPr>
        <w:t xml:space="preserve">    A[Azure AD / Cisco ISE] --&gt;|SGT / Identity Tags| D{Policy Engine}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"Addressing Plane (The 'Where')"</w:t>
      </w:r>
      <w:r>
        <w:br/>
      </w:r>
      <w:r>
        <w:rPr>
          <w:rStyle w:val="VerbatimChar"/>
        </w:rPr>
        <w:t xml:space="preserve">    B[Infoblox IPAM] --&gt;|IP Scopes / VLANs| D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"Overlay Plane (The 'How')"</w:t>
      </w:r>
      <w:r>
        <w:br/>
      </w:r>
      <w:r>
        <w:rPr>
          <w:rStyle w:val="VerbatimChar"/>
        </w:rPr>
        <w:t xml:space="preserve">    D --&gt;|Fabric Assignment| E[Cisco Catalyst Center]</w:t>
      </w:r>
      <w:r>
        <w:br/>
      </w:r>
      <w:r>
        <w:rPr>
          <w:rStyle w:val="VerbatimChar"/>
        </w:rPr>
        <w:t xml:space="preserve">    E --&gt;|VXLAN Encapsulation| F[Edge Switch Port]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"Telemetry Control Plane (Observation)"</w:t>
      </w:r>
      <w:r>
        <w:br/>
      </w:r>
      <w:r>
        <w:rPr>
          <w:rStyle w:val="VerbatimChar"/>
        </w:rPr>
        <w:t xml:space="preserve">    G[Splunk / Azure Monitor] -.-&gt;|Real-time Feedback| D</w:t>
      </w:r>
      <w:r>
        <w:br/>
      </w:r>
      <w:r>
        <w:rPr>
          <w:rStyle w:val="VerbatimChar"/>
        </w:rPr>
        <w:t xml:space="preserve">    G -.-&gt;|Audit Logs| E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style D fill:#f96,stroke:#333,stroke-width:2px</w:t>
      </w:r>
      <w:r>
        <w:br/>
      </w:r>
      <w:r>
        <w:rPr>
          <w:rStyle w:val="VerbatimChar"/>
        </w:rPr>
        <w:t xml:space="preserve">  style F fill:#bbf,stroke:#333,stroke-width:2px</w:t>
      </w:r>
    </w:p>
    <w:bookmarkEnd w:id="20"/>
    <w:bookmarkStart w:id="21" w:name="core-pillars"/>
    <w:p>
      <w:pPr>
        <w:pStyle w:val="Heading2"/>
      </w:pPr>
      <w:r>
        <w:t xml:space="preserve">Core Pillars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Identity Plane:</w:t>
      </w:r>
      <w:r>
        <w:t xml:space="preserve"> </w:t>
      </w:r>
      <w:r>
        <w:t xml:space="preserve">Centralized authority via Azure AD and Cisco ISE.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Addressing Plane:</w:t>
      </w:r>
      <w:r>
        <w:t xml:space="preserve"> </w:t>
      </w:r>
      <w:r>
        <w:t xml:space="preserve">Automated IPAM lifecycle management using Infoblox.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Overlay Plane:</w:t>
      </w:r>
      <w:r>
        <w:t xml:space="preserve"> </w:t>
      </w:r>
      <w:r>
        <w:t xml:space="preserve">Fabric-based transport (SD-Access/SD-WAN) that enforces policy regardless of physical location.</w:t>
      </w:r>
    </w:p>
    <w:p>
      <w:pPr>
        <w:pStyle w:val="FirstParagraph"/>
      </w:pPr>
      <w:r>
        <w:t xml:space="preserve">Reference Site ID: GLOBAL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by the UIAO-Core Pipeline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2026-03-20T14:28:24Z</dcterms:created>
  <dcterms:modified xsi:type="dcterms:W3CDTF">2026-03-20T14:28:24Z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